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center"/>
      </w:pPr>
      <w:r>
        <w:rPr>
          <w:b/>
          <w:bCs/>
          <w:color w:val="1E3A5F"/>
          <w:sz w:val="48"/>
          <w:szCs w:val="48"/>
        </w:rPr>
        <w:t xml:space="preserve">【医師監修】市販薬 vs 処方薬</w:t>
      </w:r>
    </w:p>
    <w:p>
      <w:pPr>
        <w:spacing w:after="200"/>
        <w:jc w:val="center"/>
      </w:pPr>
      <w:r>
        <w:rPr>
          <w:b/>
          <w:bCs/>
          <w:color w:val="2563EB"/>
          <w:sz w:val="36"/>
          <w:szCs w:val="36"/>
        </w:rPr>
        <w:t xml:space="preserve">胃薬編：あなたの胃痛、市販薬で本当に大丈夫？</w:t>
      </w:r>
    </w:p>
    <w:p>
      <w:pPr>
        <w:spacing w:after="80"/>
        <w:jc w:val="center"/>
      </w:pPr>
      <w:r>
        <w:rPr>
          <w:i/>
          <w:iCs/>
          <w:color w:val="666666"/>
          <w:sz w:val="18"/>
          <w:szCs w:val="18"/>
        </w:rPr>
        <w:t xml:space="preserve">内容の正確性について：本記事の医療情報は、公開されたガイドラインおよび査読済み論文に基づいています。</w:t>
      </w:r>
    </w:p>
    <w:p>
      <w:pPr>
        <w:spacing w:after="320"/>
        <w:jc w:val="center"/>
      </w:pPr>
      <w:r>
        <w:rPr>
          <w:i/>
          <w:iCs/>
          <w:color w:val="666666"/>
          <w:sz w:val="18"/>
          <w:szCs w:val="18"/>
        </w:rPr>
        <w:t xml:space="preserve">最終更新：2025年 ／ 監修：消化器内科専門医（執筆協力）</w:t>
      </w:r>
    </w:p>
    <w:p>
      <w:pPr>
        <w:pBdr>
          <w:bottom w:val="single" w:color="CCDDFF" w:sz="4" w:space="1"/>
        </w:pBdr>
        <w:spacing w:after="240" w:before="240"/>
      </w:pPr>
      <w:r>
        <w:t xml:space="preserve"/>
      </w:r>
    </w:p>
    <w:p>
      <w:pPr>
        <w:pStyle w:val="Heading2"/>
      </w:pPr>
      <w:r>
        <w:rPr>
          <w:b/>
          <w:bCs/>
          <w:color w:val="2563EB"/>
          <w:sz w:val="28"/>
          <w:szCs w:val="28"/>
        </w:rPr>
        <w:t xml:space="preserve">はじめに：この記事でわかること</w:t>
      </w:r>
    </w:p>
    <w:p>
      <w:pPr>
        <w:spacing w:after="120"/>
      </w:pPr>
      <w:r>
        <w:rPr>
          <w:b w:val="false"/>
          <w:bCs w:val="false"/>
          <w:color w:val="333333"/>
          <w:sz w:val="22"/>
          <w:szCs w:val="22"/>
        </w:rPr>
        <w:t xml:space="preserve">胃の不快感・胸やけ・胃痛。多くの方がまず「市販の胃薬」を手に取ります。しかし、市販薬と医師が処方する処方薬は、含まれる成分・用量・適応症が大きく異なります。</w:t>
      </w:r>
    </w:p>
    <w:p>
      <w:pPr>
        <w:spacing w:after="120"/>
      </w:pPr>
      <w:r>
        <w:rPr>
          <w:b w:val="false"/>
          <w:bCs w:val="false"/>
          <w:color w:val="333333"/>
          <w:sz w:val="22"/>
          <w:szCs w:val="22"/>
        </w:rPr>
        <w:t xml:space="preserve">本記事では、</w:t>
      </w:r>
    </w:p>
    <w:p>
      <w:pPr>
        <w:pStyle w:val="ListParagraph"/>
        <w:numPr>
          <w:ilvl w:val="0"/>
          <w:numId w:val="2"/>
        </w:numPr>
        <w:spacing w:after="80"/>
      </w:pPr>
      <w:r>
        <w:rPr>
          <w:color w:val="333333"/>
          <w:sz w:val="22"/>
          <w:szCs w:val="22"/>
        </w:rPr>
        <w:t xml:space="preserve">市販薬と処方薬の成分・用量の具体的な違い</w:t>
      </w:r>
    </w:p>
    <w:p>
      <w:pPr>
        <w:pStyle w:val="ListParagraph"/>
        <w:numPr>
          <w:ilvl w:val="0"/>
          <w:numId w:val="2"/>
        </w:numPr>
        <w:spacing w:after="80"/>
      </w:pPr>
      <w:r>
        <w:rPr>
          <w:color w:val="333333"/>
          <w:sz w:val="22"/>
          <w:szCs w:val="22"/>
        </w:rPr>
        <w:t xml:space="preserve">代表例として「ガスター10（ファモチジン）」を用いた詳細比較</w:t>
      </w:r>
    </w:p>
    <w:p>
      <w:pPr>
        <w:pStyle w:val="ListParagraph"/>
        <w:numPr>
          <w:ilvl w:val="0"/>
          <w:numId w:val="2"/>
        </w:numPr>
        <w:spacing w:after="80"/>
      </w:pPr>
      <w:r>
        <w:rPr>
          <w:color w:val="333333"/>
          <w:sz w:val="22"/>
          <w:szCs w:val="22"/>
        </w:rPr>
        <w:t xml:space="preserve">どのような症状・状況で受診すべきか</w:t>
      </w:r>
    </w:p>
    <w:p>
      <w:pPr>
        <w:pStyle w:val="ListParagraph"/>
        <w:numPr>
          <w:ilvl w:val="0"/>
          <w:numId w:val="2"/>
        </w:numPr>
        <w:spacing w:after="80"/>
      </w:pPr>
      <w:r>
        <w:rPr>
          <w:color w:val="333333"/>
          <w:sz w:val="22"/>
          <w:szCs w:val="22"/>
        </w:rPr>
        <w:t xml:space="preserve">行動変容につながる具体的なアドバイス</w:t>
      </w:r>
    </w:p>
    <w:p>
      <w:pPr>
        <w:spacing w:after="120"/>
      </w:pPr>
      <w:r>
        <w:rPr>
          <w:b w:val="false"/>
          <w:bCs w:val="false"/>
          <w:color w:val="333333"/>
          <w:sz w:val="22"/>
          <w:szCs w:val="22"/>
        </w:rPr>
        <w:t xml:space="preserve">をわかりやすく解説します。</w:t>
      </w:r>
    </w:p>
    <w:p>
      <w:pPr>
        <w:pBdr>
          <w:bottom w:val="single" w:color="CCDDFF" w:sz="4" w:space="1"/>
        </w:pBdr>
        <w:spacing w:after="240" w:before="240"/>
      </w:pPr>
      <w:r>
        <w:t xml:space="preserve"/>
      </w:r>
    </w:p>
    <w:p>
      <w:pPr>
        <w:pStyle w:val="Heading1"/>
        <w:spacing w:after="200" w:before="300"/>
      </w:pPr>
      <w:r>
        <w:rPr>
          <w:b/>
          <w:bCs/>
          <w:color w:val="1E3A5F"/>
          <w:sz w:val="32"/>
          <w:szCs w:val="32"/>
        </w:rPr>
        <w:t xml:space="preserve">1. 概要：市販薬と処方薬、何が違うのか？</w:t>
      </w:r>
    </w:p>
    <w:p>
      <w:pPr>
        <w:pStyle w:val="Heading3"/>
      </w:pPr>
      <w:r>
        <w:rPr>
          <w:b/>
          <w:bCs/>
          <w:color w:val="1D4ED8"/>
          <w:sz w:val="24"/>
          <w:szCs w:val="24"/>
        </w:rPr>
        <w:t xml:space="preserve">1-1. そもそも「市販薬（OTC薬）」と「処方薬」とは</w:t>
      </w:r>
    </w:p>
    <w:p>
      <w:pPr>
        <w:spacing w:after="120"/>
      </w:pPr>
      <w:r>
        <w:rPr>
          <w:b w:val="false"/>
          <w:bCs w:val="false"/>
          <w:color w:val="333333"/>
          <w:sz w:val="22"/>
          <w:szCs w:val="22"/>
        </w:rPr>
        <w:t xml:space="preserve">市販薬（OTC薬：Over-The-Counter Drug）は、薬局・ドラッグストアで処方箋なしに購入できる医薬品です。一方、処方薬（医療用医薬品）は医師による診察・診断のもと発行される処方箋が必要な医薬品です。</w:t>
      </w:r>
    </w:p>
    <w:p>
      <w:pPr>
        <w:spacing w:after="1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3480"/>
        <w:gridCol w:w="3480"/>
      </w:tblGrid>
      <w:tr>
        <w:trPr>
          <w:tblHeader/>
        </w:trPr>
        <w:tc>
          <w:tcPr>
            <w:tcW w:type="dxa" w:w="2400"/>
            <w:tcBorders>
              <w:top w:val="single" w:color="2563EB" w:sz="4"/>
              <w:left w:val="single" w:color="2563EB" w:sz="4"/>
              <w:bottom w:val="single" w:color="2563EB" w:sz="4"/>
              <w:right w:val="single" w:color="2563EB" w:sz="4"/>
            </w:tcBorders>
            <w:shd w:fill="1E3A5F" w:val="clear"/>
            <w:tcMar>
              <w:top w:type="dxa" w:w="100"/>
              <w:left w:type="dxa" w:w="140"/>
              <w:bottom w:type="dxa" w:w="100"/>
              <w:right w:type="dxa" w:w="140"/>
            </w:tcMar>
          </w:tcPr>
          <w:p>
            <w:r>
              <w:rPr>
                <w:b/>
                <w:bCs/>
                <w:color w:val="FFFFFF"/>
                <w:sz w:val="20"/>
                <w:szCs w:val="20"/>
              </w:rPr>
              <w:t xml:space="preserve">比較項目</w:t>
            </w:r>
          </w:p>
        </w:tc>
        <w:tc>
          <w:tcPr>
            <w:tcW w:type="dxa" w:w="3480"/>
            <w:tcBorders>
              <w:top w:val="single" w:color="2563EB" w:sz="4"/>
              <w:left w:val="single" w:color="2563EB" w:sz="4"/>
              <w:bottom w:val="single" w:color="2563EB" w:sz="4"/>
              <w:right w:val="single" w:color="2563EB" w:sz="4"/>
            </w:tcBorders>
            <w:shd w:fill="1E3A5F" w:val="clear"/>
            <w:tcMar>
              <w:top w:type="dxa" w:w="100"/>
              <w:left w:type="dxa" w:w="140"/>
              <w:bottom w:type="dxa" w:w="100"/>
              <w:right w:type="dxa" w:w="140"/>
            </w:tcMar>
          </w:tcPr>
          <w:p>
            <w:r>
              <w:rPr>
                <w:b/>
                <w:bCs/>
                <w:color w:val="FFFFFF"/>
                <w:sz w:val="20"/>
                <w:szCs w:val="20"/>
              </w:rPr>
              <w:t xml:space="preserve">市販薬（OTC）</w:t>
            </w:r>
          </w:p>
        </w:tc>
        <w:tc>
          <w:tcPr>
            <w:tcW w:type="dxa" w:w="3480"/>
            <w:tcBorders>
              <w:top w:val="single" w:color="2563EB" w:sz="4"/>
              <w:left w:val="single" w:color="2563EB" w:sz="4"/>
              <w:bottom w:val="single" w:color="2563EB" w:sz="4"/>
              <w:right w:val="single" w:color="2563EB" w:sz="4"/>
            </w:tcBorders>
            <w:shd w:fill="1E3A5F" w:val="clear"/>
            <w:tcMar>
              <w:top w:type="dxa" w:w="100"/>
              <w:left w:type="dxa" w:w="140"/>
              <w:bottom w:type="dxa" w:w="100"/>
              <w:right w:type="dxa" w:w="140"/>
            </w:tcMar>
          </w:tcPr>
          <w:p>
            <w:r>
              <w:rPr>
                <w:b/>
                <w:bCs/>
                <w:color w:val="FFFFFF"/>
                <w:sz w:val="20"/>
                <w:szCs w:val="20"/>
              </w:rPr>
              <w:t xml:space="preserve">処方薬（医療用）</w:t>
            </w:r>
          </w:p>
        </w:tc>
      </w:tr>
      <w:tr>
        <w:tc>
          <w:tcPr>
            <w:tcW w:type="dxa" w:w="2400"/>
            <w:tcBorders>
              <w:top w:val="single" w:color="CCCCCC" w:sz="1"/>
              <w:left w:val="single" w:color="CCCCCC" w:sz="1"/>
              <w:bottom w:val="single" w:color="CCCCCC" w:sz="1"/>
              <w:right w:val="single" w:color="CCCCCC" w:sz="1"/>
            </w:tcBorders>
            <w:shd w:fill="F0F4FF" w:val="clear"/>
            <w:tcMar>
              <w:top w:type="dxa" w:w="80"/>
              <w:left w:type="dxa" w:w="140"/>
              <w:bottom w:type="dxa" w:w="80"/>
              <w:right w:type="dxa" w:w="140"/>
            </w:tcMar>
          </w:tcPr>
          <w:p>
            <w:r>
              <w:rPr>
                <w:color w:val="333333"/>
                <w:sz w:val="20"/>
                <w:szCs w:val="20"/>
              </w:rPr>
              <w:t xml:space="preserve">入手方法</w:t>
            </w:r>
          </w:p>
        </w:tc>
        <w:tc>
          <w:tcPr>
            <w:tcW w:type="dxa" w:w="3480"/>
            <w:tcBorders>
              <w:top w:val="single" w:color="CCCCCC" w:sz="1"/>
              <w:left w:val="single" w:color="CCCCCC" w:sz="1"/>
              <w:bottom w:val="single" w:color="CCCCCC" w:sz="1"/>
              <w:right w:val="single" w:color="CCCCCC" w:sz="1"/>
            </w:tcBorders>
            <w:shd w:fill="F0F4FF" w:val="clear"/>
            <w:tcMar>
              <w:top w:type="dxa" w:w="80"/>
              <w:left w:type="dxa" w:w="140"/>
              <w:bottom w:type="dxa" w:w="80"/>
              <w:right w:type="dxa" w:w="140"/>
            </w:tcMar>
          </w:tcPr>
          <w:p>
            <w:r>
              <w:rPr>
                <w:color w:val="333333"/>
                <w:sz w:val="20"/>
                <w:szCs w:val="20"/>
              </w:rPr>
              <w:t xml:space="preserve">処方箋不要・薬局で購入</w:t>
            </w:r>
          </w:p>
        </w:tc>
        <w:tc>
          <w:tcPr>
            <w:tcW w:type="dxa" w:w="3480"/>
            <w:tcBorders>
              <w:top w:val="single" w:color="CCCCCC" w:sz="1"/>
              <w:left w:val="single" w:color="CCCCCC" w:sz="1"/>
              <w:bottom w:val="single" w:color="CCCCCC" w:sz="1"/>
              <w:right w:val="single" w:color="CCCCCC" w:sz="1"/>
            </w:tcBorders>
            <w:shd w:fill="F0F4FF" w:val="clear"/>
            <w:tcMar>
              <w:top w:type="dxa" w:w="80"/>
              <w:left w:type="dxa" w:w="140"/>
              <w:bottom w:type="dxa" w:w="80"/>
              <w:right w:type="dxa" w:w="140"/>
            </w:tcMar>
          </w:tcPr>
          <w:p>
            <w:r>
              <w:rPr>
                <w:color w:val="333333"/>
                <w:sz w:val="20"/>
                <w:szCs w:val="20"/>
              </w:rPr>
              <w:t xml:space="preserve">医師の診察・処方箋が必要</w:t>
            </w:r>
          </w:p>
        </w:tc>
      </w:tr>
      <w:tr>
        <w:tc>
          <w:tcPr>
            <w:tcW w:type="dxa" w:w="24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color w:val="333333"/>
                <w:sz w:val="20"/>
                <w:szCs w:val="20"/>
              </w:rPr>
              <w:t xml:space="preserve">有効成分の量（用量）</w:t>
            </w:r>
          </w:p>
        </w:tc>
        <w:tc>
          <w:tcPr>
            <w:tcW w:type="dxa" w:w="34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color w:val="333333"/>
                <w:sz w:val="20"/>
                <w:szCs w:val="20"/>
              </w:rPr>
              <w:t xml:space="preserve">比較的少量（安全マージン大）</w:t>
            </w:r>
          </w:p>
        </w:tc>
        <w:tc>
          <w:tcPr>
            <w:tcW w:type="dxa" w:w="34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color w:val="333333"/>
                <w:sz w:val="20"/>
                <w:szCs w:val="20"/>
              </w:rPr>
              <w:t xml:space="preserve">疾患に合わせた最適用量</w:t>
            </w:r>
          </w:p>
        </w:tc>
      </w:tr>
      <w:tr>
        <w:tc>
          <w:tcPr>
            <w:tcW w:type="dxa" w:w="2400"/>
            <w:tcBorders>
              <w:top w:val="single" w:color="CCCCCC" w:sz="1"/>
              <w:left w:val="single" w:color="CCCCCC" w:sz="1"/>
              <w:bottom w:val="single" w:color="CCCCCC" w:sz="1"/>
              <w:right w:val="single" w:color="CCCCCC" w:sz="1"/>
            </w:tcBorders>
            <w:shd w:fill="F0F4FF" w:val="clear"/>
            <w:tcMar>
              <w:top w:type="dxa" w:w="80"/>
              <w:left w:type="dxa" w:w="140"/>
              <w:bottom w:type="dxa" w:w="80"/>
              <w:right w:type="dxa" w:w="140"/>
            </w:tcMar>
          </w:tcPr>
          <w:p>
            <w:r>
              <w:rPr>
                <w:color w:val="333333"/>
                <w:sz w:val="20"/>
                <w:szCs w:val="20"/>
              </w:rPr>
              <w:t xml:space="preserve">適応（対象症状）</w:t>
            </w:r>
          </w:p>
        </w:tc>
        <w:tc>
          <w:tcPr>
            <w:tcW w:type="dxa" w:w="3480"/>
            <w:tcBorders>
              <w:top w:val="single" w:color="CCCCCC" w:sz="1"/>
              <w:left w:val="single" w:color="CCCCCC" w:sz="1"/>
              <w:bottom w:val="single" w:color="CCCCCC" w:sz="1"/>
              <w:right w:val="single" w:color="CCCCCC" w:sz="1"/>
            </w:tcBorders>
            <w:shd w:fill="F0F4FF" w:val="clear"/>
            <w:tcMar>
              <w:top w:type="dxa" w:w="80"/>
              <w:left w:type="dxa" w:w="140"/>
              <w:bottom w:type="dxa" w:w="80"/>
              <w:right w:type="dxa" w:w="140"/>
            </w:tcMar>
          </w:tcPr>
          <w:p>
            <w:r>
              <w:rPr>
                <w:color w:val="333333"/>
                <w:sz w:val="20"/>
                <w:szCs w:val="20"/>
              </w:rPr>
              <w:t xml:space="preserve">軽症の胃症状</w:t>
            </w:r>
          </w:p>
        </w:tc>
        <w:tc>
          <w:tcPr>
            <w:tcW w:type="dxa" w:w="3480"/>
            <w:tcBorders>
              <w:top w:val="single" w:color="CCCCCC" w:sz="1"/>
              <w:left w:val="single" w:color="CCCCCC" w:sz="1"/>
              <w:bottom w:val="single" w:color="CCCCCC" w:sz="1"/>
              <w:right w:val="single" w:color="CCCCCC" w:sz="1"/>
            </w:tcBorders>
            <w:shd w:fill="F0F4FF" w:val="clear"/>
            <w:tcMar>
              <w:top w:type="dxa" w:w="80"/>
              <w:left w:type="dxa" w:w="140"/>
              <w:bottom w:type="dxa" w:w="80"/>
              <w:right w:type="dxa" w:w="140"/>
            </w:tcMar>
          </w:tcPr>
          <w:p>
            <w:r>
              <w:rPr>
                <w:color w:val="333333"/>
                <w:sz w:val="20"/>
                <w:szCs w:val="20"/>
              </w:rPr>
              <w:t xml:space="preserve">診断確定後の疾患治療</w:t>
            </w:r>
          </w:p>
        </w:tc>
      </w:tr>
      <w:tr>
        <w:tc>
          <w:tcPr>
            <w:tcW w:type="dxa" w:w="24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color w:val="333333"/>
                <w:sz w:val="20"/>
                <w:szCs w:val="20"/>
              </w:rPr>
              <w:t xml:space="preserve">使用期間の目安</w:t>
            </w:r>
          </w:p>
        </w:tc>
        <w:tc>
          <w:tcPr>
            <w:tcW w:type="dxa" w:w="34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color w:val="333333"/>
                <w:sz w:val="20"/>
                <w:szCs w:val="20"/>
              </w:rPr>
              <w:t xml:space="preserve">短期間（数日〜2週間程度）</w:t>
            </w:r>
          </w:p>
        </w:tc>
        <w:tc>
          <w:tcPr>
            <w:tcW w:type="dxa" w:w="34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color w:val="333333"/>
                <w:sz w:val="20"/>
                <w:szCs w:val="20"/>
              </w:rPr>
              <w:t xml:space="preserve">疾患に応じて設定（数週間〜長期）</w:t>
            </w:r>
          </w:p>
        </w:tc>
      </w:tr>
      <w:tr>
        <w:tc>
          <w:tcPr>
            <w:tcW w:type="dxa" w:w="2400"/>
            <w:tcBorders>
              <w:top w:val="single" w:color="CCCCCC" w:sz="1"/>
              <w:left w:val="single" w:color="CCCCCC" w:sz="1"/>
              <w:bottom w:val="single" w:color="CCCCCC" w:sz="1"/>
              <w:right w:val="single" w:color="CCCCCC" w:sz="1"/>
            </w:tcBorders>
            <w:shd w:fill="F0F4FF" w:val="clear"/>
            <w:tcMar>
              <w:top w:type="dxa" w:w="80"/>
              <w:left w:type="dxa" w:w="140"/>
              <w:bottom w:type="dxa" w:w="80"/>
              <w:right w:type="dxa" w:w="140"/>
            </w:tcMar>
          </w:tcPr>
          <w:p>
            <w:r>
              <w:rPr>
                <w:color w:val="333333"/>
                <w:sz w:val="20"/>
                <w:szCs w:val="20"/>
              </w:rPr>
              <w:t xml:space="preserve">副作用チェック</w:t>
            </w:r>
          </w:p>
        </w:tc>
        <w:tc>
          <w:tcPr>
            <w:tcW w:type="dxa" w:w="3480"/>
            <w:tcBorders>
              <w:top w:val="single" w:color="CCCCCC" w:sz="1"/>
              <w:left w:val="single" w:color="CCCCCC" w:sz="1"/>
              <w:bottom w:val="single" w:color="CCCCCC" w:sz="1"/>
              <w:right w:val="single" w:color="CCCCCC" w:sz="1"/>
            </w:tcBorders>
            <w:shd w:fill="F0F4FF" w:val="clear"/>
            <w:tcMar>
              <w:top w:type="dxa" w:w="80"/>
              <w:left w:type="dxa" w:w="140"/>
              <w:bottom w:type="dxa" w:w="80"/>
              <w:right w:type="dxa" w:w="140"/>
            </w:tcMar>
          </w:tcPr>
          <w:p>
            <w:r>
              <w:rPr>
                <w:color w:val="333333"/>
                <w:sz w:val="20"/>
                <w:szCs w:val="20"/>
              </w:rPr>
              <w:t xml:space="preserve">自己判断</w:t>
            </w:r>
          </w:p>
        </w:tc>
        <w:tc>
          <w:tcPr>
            <w:tcW w:type="dxa" w:w="3480"/>
            <w:tcBorders>
              <w:top w:val="single" w:color="CCCCCC" w:sz="1"/>
              <w:left w:val="single" w:color="CCCCCC" w:sz="1"/>
              <w:bottom w:val="single" w:color="CCCCCC" w:sz="1"/>
              <w:right w:val="single" w:color="CCCCCC" w:sz="1"/>
            </w:tcBorders>
            <w:shd w:fill="F0F4FF" w:val="clear"/>
            <w:tcMar>
              <w:top w:type="dxa" w:w="80"/>
              <w:left w:type="dxa" w:w="140"/>
              <w:bottom w:type="dxa" w:w="80"/>
              <w:right w:type="dxa" w:w="140"/>
            </w:tcMar>
          </w:tcPr>
          <w:p>
            <w:r>
              <w:rPr>
                <w:color w:val="333333"/>
                <w:sz w:val="20"/>
                <w:szCs w:val="20"/>
              </w:rPr>
              <w:t xml:space="preserve">定期的な受診・検査で管理</w:t>
            </w:r>
          </w:p>
        </w:tc>
      </w:tr>
      <w:tr>
        <w:tc>
          <w:tcPr>
            <w:tcW w:type="dxa" w:w="24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color w:val="333333"/>
                <w:sz w:val="20"/>
                <w:szCs w:val="20"/>
              </w:rPr>
              <w:t xml:space="preserve">コスト（自己負担）</w:t>
            </w:r>
          </w:p>
        </w:tc>
        <w:tc>
          <w:tcPr>
            <w:tcW w:type="dxa" w:w="34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color w:val="333333"/>
                <w:sz w:val="20"/>
                <w:szCs w:val="20"/>
              </w:rPr>
              <w:t xml:space="preserve">全額自己負担（数百〜数千円）</w:t>
            </w:r>
          </w:p>
        </w:tc>
        <w:tc>
          <w:tcPr>
            <w:tcW w:type="dxa" w:w="34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color w:val="333333"/>
                <w:sz w:val="20"/>
                <w:szCs w:val="20"/>
              </w:rPr>
              <w:t xml:space="preserve">保険適用で3割負担</w:t>
            </w:r>
          </w:p>
        </w:tc>
      </w:tr>
      <w:tr>
        <w:tc>
          <w:tcPr>
            <w:tcW w:type="dxa" w:w="2400"/>
            <w:tcBorders>
              <w:top w:val="single" w:color="CCCCCC" w:sz="1"/>
              <w:left w:val="single" w:color="CCCCCC" w:sz="1"/>
              <w:bottom w:val="single" w:color="CCCCCC" w:sz="1"/>
              <w:right w:val="single" w:color="CCCCCC" w:sz="1"/>
            </w:tcBorders>
            <w:shd w:fill="F0F4FF" w:val="clear"/>
            <w:tcMar>
              <w:top w:type="dxa" w:w="80"/>
              <w:left w:type="dxa" w:w="140"/>
              <w:bottom w:type="dxa" w:w="80"/>
              <w:right w:type="dxa" w:w="140"/>
            </w:tcMar>
          </w:tcPr>
          <w:p>
            <w:r>
              <w:rPr>
                <w:color w:val="333333"/>
                <w:sz w:val="20"/>
                <w:szCs w:val="20"/>
              </w:rPr>
              <w:t xml:space="preserve">説明・指導</w:t>
            </w:r>
          </w:p>
        </w:tc>
        <w:tc>
          <w:tcPr>
            <w:tcW w:type="dxa" w:w="3480"/>
            <w:tcBorders>
              <w:top w:val="single" w:color="CCCCCC" w:sz="1"/>
              <w:left w:val="single" w:color="CCCCCC" w:sz="1"/>
              <w:bottom w:val="single" w:color="CCCCCC" w:sz="1"/>
              <w:right w:val="single" w:color="CCCCCC" w:sz="1"/>
            </w:tcBorders>
            <w:shd w:fill="F0F4FF" w:val="clear"/>
            <w:tcMar>
              <w:top w:type="dxa" w:w="80"/>
              <w:left w:type="dxa" w:w="140"/>
              <w:bottom w:type="dxa" w:w="80"/>
              <w:right w:type="dxa" w:w="140"/>
            </w:tcMar>
          </w:tcPr>
          <w:p>
            <w:r>
              <w:rPr>
                <w:color w:val="333333"/>
                <w:sz w:val="20"/>
                <w:szCs w:val="20"/>
              </w:rPr>
              <w:t xml:space="preserve">添付文書・薬剤師の説明</w:t>
            </w:r>
          </w:p>
        </w:tc>
        <w:tc>
          <w:tcPr>
            <w:tcW w:type="dxa" w:w="3480"/>
            <w:tcBorders>
              <w:top w:val="single" w:color="CCCCCC" w:sz="1"/>
              <w:left w:val="single" w:color="CCCCCC" w:sz="1"/>
              <w:bottom w:val="single" w:color="CCCCCC" w:sz="1"/>
              <w:right w:val="single" w:color="CCCCCC" w:sz="1"/>
            </w:tcBorders>
            <w:shd w:fill="F0F4FF" w:val="clear"/>
            <w:tcMar>
              <w:top w:type="dxa" w:w="80"/>
              <w:left w:type="dxa" w:w="140"/>
              <w:bottom w:type="dxa" w:w="80"/>
              <w:right w:type="dxa" w:w="140"/>
            </w:tcMar>
          </w:tcPr>
          <w:p>
            <w:r>
              <w:rPr>
                <w:color w:val="333333"/>
                <w:sz w:val="20"/>
                <w:szCs w:val="20"/>
              </w:rPr>
              <w:t xml:space="preserve">医師・薬剤師による個別指導</w:t>
            </w:r>
          </w:p>
        </w:tc>
      </w:tr>
    </w:tbl>
    <w:p>
      <w:pPr>
        <w:spacing w:after="160"/>
      </w:pPr>
      <w:r>
        <w:t xml:space="preserve"/>
      </w:r>
    </w:p>
    <w:p>
      <w:pPr>
        <w:pStyle w:val="Heading3"/>
      </w:pPr>
      <w:r>
        <w:rPr>
          <w:b/>
          <w:bCs/>
          <w:color w:val="1D4ED8"/>
          <w:sz w:val="24"/>
          <w:szCs w:val="24"/>
        </w:rPr>
        <w:t xml:space="preserve">1-2. 胃薬の主な種類</w:t>
      </w:r>
    </w:p>
    <w:p>
      <w:pPr>
        <w:spacing w:after="120"/>
      </w:pPr>
      <w:r>
        <w:rPr>
          <w:b w:val="false"/>
          <w:bCs w:val="false"/>
          <w:color w:val="333333"/>
          <w:sz w:val="22"/>
          <w:szCs w:val="22"/>
        </w:rPr>
        <w:t xml:space="preserve">胃薬には作用メカニズム（薬が効く仕組み）によりいくつかの種類があります。</w:t>
      </w:r>
    </w:p>
    <w:p>
      <w:pPr>
        <w:spacing w:after="1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80"/>
        <w:gridCol w:w="1680"/>
        <w:gridCol w:w="1680"/>
        <w:gridCol w:w="2160"/>
        <w:gridCol w:w="2160"/>
      </w:tblGrid>
      <w:tr>
        <w:trPr>
          <w:tblHeader/>
        </w:trPr>
        <w:tc>
          <w:tcPr>
            <w:tcW w:type="dxa" w:w="1680"/>
            <w:tcBorders>
              <w:top w:val="single" w:color="2563EB" w:sz="4"/>
              <w:left w:val="single" w:color="2563EB" w:sz="4"/>
              <w:bottom w:val="single" w:color="2563EB" w:sz="4"/>
              <w:right w:val="single" w:color="2563EB" w:sz="4"/>
            </w:tcBorders>
            <w:shd w:fill="1E3A5F" w:val="clear"/>
            <w:tcMar>
              <w:top w:type="dxa" w:w="100"/>
              <w:left w:type="dxa" w:w="140"/>
              <w:bottom w:type="dxa" w:w="100"/>
              <w:right w:type="dxa" w:w="140"/>
            </w:tcMar>
          </w:tcPr>
          <w:p>
            <w:r>
              <w:rPr>
                <w:b/>
                <w:bCs/>
                <w:color w:val="FFFFFF"/>
                <w:sz w:val="20"/>
                <w:szCs w:val="20"/>
              </w:rPr>
              <w:t xml:space="preserve">種類</w:t>
            </w:r>
          </w:p>
        </w:tc>
        <w:tc>
          <w:tcPr>
            <w:tcW w:type="dxa" w:w="1680"/>
            <w:tcBorders>
              <w:top w:val="single" w:color="2563EB" w:sz="4"/>
              <w:left w:val="single" w:color="2563EB" w:sz="4"/>
              <w:bottom w:val="single" w:color="2563EB" w:sz="4"/>
              <w:right w:val="single" w:color="2563EB" w:sz="4"/>
            </w:tcBorders>
            <w:shd w:fill="1E3A5F" w:val="clear"/>
            <w:tcMar>
              <w:top w:type="dxa" w:w="100"/>
              <w:left w:type="dxa" w:w="140"/>
              <w:bottom w:type="dxa" w:w="100"/>
              <w:right w:type="dxa" w:w="140"/>
            </w:tcMar>
          </w:tcPr>
          <w:p>
            <w:r>
              <w:rPr>
                <w:b/>
                <w:bCs/>
                <w:color w:val="FFFFFF"/>
                <w:sz w:val="20"/>
                <w:szCs w:val="20"/>
              </w:rPr>
              <w:t xml:space="preserve">主な作用</w:t>
            </w:r>
          </w:p>
        </w:tc>
        <w:tc>
          <w:tcPr>
            <w:tcW w:type="dxa" w:w="1680"/>
            <w:tcBorders>
              <w:top w:val="single" w:color="2563EB" w:sz="4"/>
              <w:left w:val="single" w:color="2563EB" w:sz="4"/>
              <w:bottom w:val="single" w:color="2563EB" w:sz="4"/>
              <w:right w:val="single" w:color="2563EB" w:sz="4"/>
            </w:tcBorders>
            <w:shd w:fill="1E3A5F" w:val="clear"/>
            <w:tcMar>
              <w:top w:type="dxa" w:w="100"/>
              <w:left w:type="dxa" w:w="140"/>
              <w:bottom w:type="dxa" w:w="100"/>
              <w:right w:type="dxa" w:w="140"/>
            </w:tcMar>
          </w:tcPr>
          <w:p>
            <w:r>
              <w:rPr>
                <w:b/>
                <w:bCs/>
                <w:color w:val="FFFFFF"/>
                <w:sz w:val="20"/>
                <w:szCs w:val="20"/>
              </w:rPr>
              <w:t xml:space="preserve">代表的成分</w:t>
            </w:r>
          </w:p>
        </w:tc>
        <w:tc>
          <w:tcPr>
            <w:tcW w:type="dxa" w:w="2160"/>
            <w:tcBorders>
              <w:top w:val="single" w:color="2563EB" w:sz="4"/>
              <w:left w:val="single" w:color="2563EB" w:sz="4"/>
              <w:bottom w:val="single" w:color="2563EB" w:sz="4"/>
              <w:right w:val="single" w:color="2563EB" w:sz="4"/>
            </w:tcBorders>
            <w:shd w:fill="1E3A5F" w:val="clear"/>
            <w:tcMar>
              <w:top w:type="dxa" w:w="100"/>
              <w:left w:type="dxa" w:w="140"/>
              <w:bottom w:type="dxa" w:w="100"/>
              <w:right w:type="dxa" w:w="140"/>
            </w:tcMar>
          </w:tcPr>
          <w:p>
            <w:r>
              <w:rPr>
                <w:b/>
                <w:bCs/>
                <w:color w:val="FFFFFF"/>
                <w:sz w:val="20"/>
                <w:szCs w:val="20"/>
              </w:rPr>
              <w:t xml:space="preserve">市販例（OTC）</w:t>
            </w:r>
          </w:p>
        </w:tc>
        <w:tc>
          <w:tcPr>
            <w:tcW w:type="dxa" w:w="2160"/>
            <w:tcBorders>
              <w:top w:val="single" w:color="2563EB" w:sz="4"/>
              <w:left w:val="single" w:color="2563EB" w:sz="4"/>
              <w:bottom w:val="single" w:color="2563EB" w:sz="4"/>
              <w:right w:val="single" w:color="2563EB" w:sz="4"/>
            </w:tcBorders>
            <w:shd w:fill="1E3A5F" w:val="clear"/>
            <w:tcMar>
              <w:top w:type="dxa" w:w="100"/>
              <w:left w:type="dxa" w:w="140"/>
              <w:bottom w:type="dxa" w:w="100"/>
              <w:right w:type="dxa" w:w="140"/>
            </w:tcMar>
          </w:tcPr>
          <w:p>
            <w:r>
              <w:rPr>
                <w:b/>
                <w:bCs/>
                <w:color w:val="FFFFFF"/>
                <w:sz w:val="20"/>
                <w:szCs w:val="20"/>
              </w:rPr>
              <w:t xml:space="preserve">処方薬例</w:t>
            </w:r>
          </w:p>
        </w:tc>
      </w:tr>
      <w:tr>
        <w:tc>
          <w:tcPr>
            <w:tcW w:type="dxa" w:w="1680"/>
            <w:tcBorders>
              <w:top w:val="single" w:color="CCCCCC" w:sz="1"/>
              <w:left w:val="single" w:color="CCCCCC" w:sz="1"/>
              <w:bottom w:val="single" w:color="CCCCCC" w:sz="1"/>
              <w:right w:val="single" w:color="CCCCCC" w:sz="1"/>
            </w:tcBorders>
            <w:shd w:fill="F0F4FF" w:val="clear"/>
            <w:tcMar>
              <w:top w:type="dxa" w:w="80"/>
              <w:left w:type="dxa" w:w="140"/>
              <w:bottom w:type="dxa" w:w="80"/>
              <w:right w:type="dxa" w:w="140"/>
            </w:tcMar>
          </w:tcPr>
          <w:p>
            <w:r>
              <w:rPr>
                <w:color w:val="333333"/>
                <w:sz w:val="20"/>
                <w:szCs w:val="20"/>
              </w:rPr>
              <w:t xml:space="preserve">H₂受容体拮抗薬
（H2ブロッカー）</w:t>
            </w:r>
          </w:p>
        </w:tc>
        <w:tc>
          <w:tcPr>
            <w:tcW w:type="dxa" w:w="1680"/>
            <w:tcBorders>
              <w:top w:val="single" w:color="CCCCCC" w:sz="1"/>
              <w:left w:val="single" w:color="CCCCCC" w:sz="1"/>
              <w:bottom w:val="single" w:color="CCCCCC" w:sz="1"/>
              <w:right w:val="single" w:color="CCCCCC" w:sz="1"/>
            </w:tcBorders>
            <w:shd w:fill="F0F4FF" w:val="clear"/>
            <w:tcMar>
              <w:top w:type="dxa" w:w="80"/>
              <w:left w:type="dxa" w:w="140"/>
              <w:bottom w:type="dxa" w:w="80"/>
              <w:right w:type="dxa" w:w="140"/>
            </w:tcMar>
          </w:tcPr>
          <w:p>
            <w:r>
              <w:rPr>
                <w:color w:val="333333"/>
                <w:sz w:val="20"/>
                <w:szCs w:val="20"/>
              </w:rPr>
              <w:t xml:space="preserve">胃酸分泌を抑制</w:t>
            </w:r>
          </w:p>
        </w:tc>
        <w:tc>
          <w:tcPr>
            <w:tcW w:type="dxa" w:w="1680"/>
            <w:tcBorders>
              <w:top w:val="single" w:color="CCCCCC" w:sz="1"/>
              <w:left w:val="single" w:color="CCCCCC" w:sz="1"/>
              <w:bottom w:val="single" w:color="CCCCCC" w:sz="1"/>
              <w:right w:val="single" w:color="CCCCCC" w:sz="1"/>
            </w:tcBorders>
            <w:shd w:fill="F0F4FF" w:val="clear"/>
            <w:tcMar>
              <w:top w:type="dxa" w:w="80"/>
              <w:left w:type="dxa" w:w="140"/>
              <w:bottom w:type="dxa" w:w="80"/>
              <w:right w:type="dxa" w:w="140"/>
            </w:tcMar>
          </w:tcPr>
          <w:p>
            <w:r>
              <w:rPr>
                <w:color w:val="333333"/>
                <w:sz w:val="20"/>
                <w:szCs w:val="20"/>
              </w:rPr>
              <w:t xml:space="preserve">ファモチジン
シメチジン
ロキサチジン</w:t>
            </w:r>
          </w:p>
        </w:tc>
        <w:tc>
          <w:tcPr>
            <w:tcW w:type="dxa" w:w="2160"/>
            <w:tcBorders>
              <w:top w:val="single" w:color="CCCCCC" w:sz="1"/>
              <w:left w:val="single" w:color="CCCCCC" w:sz="1"/>
              <w:bottom w:val="single" w:color="CCCCCC" w:sz="1"/>
              <w:right w:val="single" w:color="CCCCCC" w:sz="1"/>
            </w:tcBorders>
            <w:shd w:fill="F0F4FF" w:val="clear"/>
            <w:tcMar>
              <w:top w:type="dxa" w:w="80"/>
              <w:left w:type="dxa" w:w="140"/>
              <w:bottom w:type="dxa" w:w="80"/>
              <w:right w:type="dxa" w:w="140"/>
            </w:tcMar>
          </w:tcPr>
          <w:p>
            <w:r>
              <w:rPr>
                <w:color w:val="333333"/>
                <w:sz w:val="20"/>
                <w:szCs w:val="20"/>
              </w:rPr>
              <w:t xml:space="preserve">ガスター10
アシノン</w:t>
            </w:r>
          </w:p>
        </w:tc>
        <w:tc>
          <w:tcPr>
            <w:tcW w:type="dxa" w:w="2160"/>
            <w:tcBorders>
              <w:top w:val="single" w:color="CCCCCC" w:sz="1"/>
              <w:left w:val="single" w:color="CCCCCC" w:sz="1"/>
              <w:bottom w:val="single" w:color="CCCCCC" w:sz="1"/>
              <w:right w:val="single" w:color="CCCCCC" w:sz="1"/>
            </w:tcBorders>
            <w:shd w:fill="F0F4FF" w:val="clear"/>
            <w:tcMar>
              <w:top w:type="dxa" w:w="80"/>
              <w:left w:type="dxa" w:w="140"/>
              <w:bottom w:type="dxa" w:w="80"/>
              <w:right w:type="dxa" w:w="140"/>
            </w:tcMar>
          </w:tcPr>
          <w:p>
            <w:r>
              <w:rPr>
                <w:color w:val="333333"/>
                <w:sz w:val="20"/>
                <w:szCs w:val="20"/>
              </w:rPr>
              <w:t xml:space="preserve">ガスター（高用量版）
ザンタック</w:t>
            </w:r>
          </w:p>
        </w:tc>
      </w:tr>
      <w:tr>
        <w:tc>
          <w:tcPr>
            <w:tcW w:type="dxa" w:w="16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color w:val="333333"/>
                <w:sz w:val="20"/>
                <w:szCs w:val="20"/>
              </w:rPr>
              <w:t xml:space="preserve">PPI
（プロトンポンプ阻害薬）</w:t>
            </w:r>
          </w:p>
        </w:tc>
        <w:tc>
          <w:tcPr>
            <w:tcW w:type="dxa" w:w="16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color w:val="333333"/>
                <w:sz w:val="20"/>
                <w:szCs w:val="20"/>
              </w:rPr>
              <w:t xml:space="preserve">胃酸分泌を強力に抑制</w:t>
            </w:r>
          </w:p>
        </w:tc>
        <w:tc>
          <w:tcPr>
            <w:tcW w:type="dxa" w:w="16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color w:val="333333"/>
                <w:sz w:val="20"/>
                <w:szCs w:val="20"/>
              </w:rPr>
              <w:t xml:space="preserve">オメプラゾール
ランソプラゾール
エソメプラゾール</w:t>
            </w:r>
          </w:p>
        </w:tc>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color w:val="333333"/>
                <w:sz w:val="20"/>
                <w:szCs w:val="20"/>
              </w:rPr>
              <w:t xml:space="preserve">オメプラール（一部）
※多くは処方薬</w:t>
            </w:r>
          </w:p>
        </w:tc>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color w:val="333333"/>
                <w:sz w:val="20"/>
                <w:szCs w:val="20"/>
              </w:rPr>
              <w:t xml:space="preserve">オメプラール
タケプロン
ネキシウム
パリエット</w:t>
            </w:r>
          </w:p>
        </w:tc>
      </w:tr>
      <w:tr>
        <w:tc>
          <w:tcPr>
            <w:tcW w:type="dxa" w:w="1680"/>
            <w:tcBorders>
              <w:top w:val="single" w:color="CCCCCC" w:sz="1"/>
              <w:left w:val="single" w:color="CCCCCC" w:sz="1"/>
              <w:bottom w:val="single" w:color="CCCCCC" w:sz="1"/>
              <w:right w:val="single" w:color="CCCCCC" w:sz="1"/>
            </w:tcBorders>
            <w:shd w:fill="F0F4FF" w:val="clear"/>
            <w:tcMar>
              <w:top w:type="dxa" w:w="80"/>
              <w:left w:type="dxa" w:w="140"/>
              <w:bottom w:type="dxa" w:w="80"/>
              <w:right w:type="dxa" w:w="140"/>
            </w:tcMar>
          </w:tcPr>
          <w:p>
            <w:r>
              <w:rPr>
                <w:color w:val="333333"/>
                <w:sz w:val="20"/>
                <w:szCs w:val="20"/>
              </w:rPr>
              <w:t xml:space="preserve">P-CAB
（カリウムイオン競合型
アシッドブロッカー）</w:t>
            </w:r>
          </w:p>
        </w:tc>
        <w:tc>
          <w:tcPr>
            <w:tcW w:type="dxa" w:w="1680"/>
            <w:tcBorders>
              <w:top w:val="single" w:color="CCCCCC" w:sz="1"/>
              <w:left w:val="single" w:color="CCCCCC" w:sz="1"/>
              <w:bottom w:val="single" w:color="CCCCCC" w:sz="1"/>
              <w:right w:val="single" w:color="CCCCCC" w:sz="1"/>
            </w:tcBorders>
            <w:shd w:fill="F0F4FF" w:val="clear"/>
            <w:tcMar>
              <w:top w:type="dxa" w:w="80"/>
              <w:left w:type="dxa" w:w="140"/>
              <w:bottom w:type="dxa" w:w="80"/>
              <w:right w:type="dxa" w:w="140"/>
            </w:tcMar>
          </w:tcPr>
          <w:p>
            <w:r>
              <w:rPr>
                <w:color w:val="333333"/>
                <w:sz w:val="20"/>
                <w:szCs w:val="20"/>
              </w:rPr>
              <w:t xml:space="preserve">PPIより速効性のある胃酸抑制</w:t>
            </w:r>
          </w:p>
        </w:tc>
        <w:tc>
          <w:tcPr>
            <w:tcW w:type="dxa" w:w="1680"/>
            <w:tcBorders>
              <w:top w:val="single" w:color="CCCCCC" w:sz="1"/>
              <w:left w:val="single" w:color="CCCCCC" w:sz="1"/>
              <w:bottom w:val="single" w:color="CCCCCC" w:sz="1"/>
              <w:right w:val="single" w:color="CCCCCC" w:sz="1"/>
            </w:tcBorders>
            <w:shd w:fill="F0F4FF" w:val="clear"/>
            <w:tcMar>
              <w:top w:type="dxa" w:w="80"/>
              <w:left w:type="dxa" w:w="140"/>
              <w:bottom w:type="dxa" w:w="80"/>
              <w:right w:type="dxa" w:w="140"/>
            </w:tcMar>
          </w:tcPr>
          <w:p>
            <w:r>
              <w:rPr>
                <w:color w:val="333333"/>
                <w:sz w:val="20"/>
                <w:szCs w:val="20"/>
              </w:rPr>
              <w:t xml:space="preserve">ボノプラザン
テゴプラザン</w:t>
            </w:r>
          </w:p>
        </w:tc>
        <w:tc>
          <w:tcPr>
            <w:tcW w:type="dxa" w:w="2160"/>
            <w:tcBorders>
              <w:top w:val="single" w:color="CCCCCC" w:sz="1"/>
              <w:left w:val="single" w:color="CCCCCC" w:sz="1"/>
              <w:bottom w:val="single" w:color="CCCCCC" w:sz="1"/>
              <w:right w:val="single" w:color="CCCCCC" w:sz="1"/>
            </w:tcBorders>
            <w:shd w:fill="F0F4FF" w:val="clear"/>
            <w:tcMar>
              <w:top w:type="dxa" w:w="80"/>
              <w:left w:type="dxa" w:w="140"/>
              <w:bottom w:type="dxa" w:w="80"/>
              <w:right w:type="dxa" w:w="140"/>
            </w:tcMar>
          </w:tcPr>
          <w:p>
            <w:r>
              <w:rPr>
                <w:color w:val="333333"/>
                <w:sz w:val="20"/>
                <w:szCs w:val="20"/>
              </w:rPr>
              <w:t xml:space="preserve">なし（処方薬のみ）</w:t>
            </w:r>
          </w:p>
        </w:tc>
        <w:tc>
          <w:tcPr>
            <w:tcW w:type="dxa" w:w="2160"/>
            <w:tcBorders>
              <w:top w:val="single" w:color="CCCCCC" w:sz="1"/>
              <w:left w:val="single" w:color="CCCCCC" w:sz="1"/>
              <w:bottom w:val="single" w:color="CCCCCC" w:sz="1"/>
              <w:right w:val="single" w:color="CCCCCC" w:sz="1"/>
            </w:tcBorders>
            <w:shd w:fill="F0F4FF" w:val="clear"/>
            <w:tcMar>
              <w:top w:type="dxa" w:w="80"/>
              <w:left w:type="dxa" w:w="140"/>
              <w:bottom w:type="dxa" w:w="80"/>
              <w:right w:type="dxa" w:w="140"/>
            </w:tcMar>
          </w:tcPr>
          <w:p>
            <w:r>
              <w:rPr>
                <w:color w:val="333333"/>
                <w:sz w:val="20"/>
                <w:szCs w:val="20"/>
              </w:rPr>
              <w:t xml:space="preserve">タケキャブ
ケブザラ</w:t>
            </w:r>
          </w:p>
        </w:tc>
      </w:tr>
      <w:tr>
        <w:tc>
          <w:tcPr>
            <w:tcW w:type="dxa" w:w="16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color w:val="333333"/>
                <w:sz w:val="20"/>
                <w:szCs w:val="20"/>
              </w:rPr>
              <w:t xml:space="preserve">制酸薬</w:t>
            </w:r>
          </w:p>
        </w:tc>
        <w:tc>
          <w:tcPr>
            <w:tcW w:type="dxa" w:w="16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color w:val="333333"/>
                <w:sz w:val="20"/>
                <w:szCs w:val="20"/>
              </w:rPr>
              <w:t xml:space="preserve">胃酸を中和する</w:t>
            </w:r>
          </w:p>
        </w:tc>
        <w:tc>
          <w:tcPr>
            <w:tcW w:type="dxa" w:w="16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color w:val="333333"/>
                <w:sz w:val="20"/>
                <w:szCs w:val="20"/>
              </w:rPr>
              <w:t xml:space="preserve">炭酸水素ナトリウム
水酸化マグネシウム</w:t>
            </w:r>
          </w:p>
        </w:tc>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color w:val="333333"/>
                <w:sz w:val="20"/>
                <w:szCs w:val="20"/>
              </w:rPr>
              <w:t xml:space="preserve">マグミット
重曹系制酸薬</w:t>
            </w:r>
          </w:p>
        </w:tc>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color w:val="333333"/>
                <w:sz w:val="20"/>
                <w:szCs w:val="20"/>
              </w:rPr>
              <w:t xml:space="preserve">マグミット（処方）</w:t>
            </w:r>
          </w:p>
        </w:tc>
      </w:tr>
      <w:tr>
        <w:tc>
          <w:tcPr>
            <w:tcW w:type="dxa" w:w="1680"/>
            <w:tcBorders>
              <w:top w:val="single" w:color="CCCCCC" w:sz="1"/>
              <w:left w:val="single" w:color="CCCCCC" w:sz="1"/>
              <w:bottom w:val="single" w:color="CCCCCC" w:sz="1"/>
              <w:right w:val="single" w:color="CCCCCC" w:sz="1"/>
            </w:tcBorders>
            <w:shd w:fill="F0F4FF" w:val="clear"/>
            <w:tcMar>
              <w:top w:type="dxa" w:w="80"/>
              <w:left w:type="dxa" w:w="140"/>
              <w:bottom w:type="dxa" w:w="80"/>
              <w:right w:type="dxa" w:w="140"/>
            </w:tcMar>
          </w:tcPr>
          <w:p>
            <w:r>
              <w:rPr>
                <w:color w:val="333333"/>
                <w:sz w:val="20"/>
                <w:szCs w:val="20"/>
              </w:rPr>
              <w:t xml:space="preserve">粘膜保護薬</w:t>
            </w:r>
          </w:p>
        </w:tc>
        <w:tc>
          <w:tcPr>
            <w:tcW w:type="dxa" w:w="1680"/>
            <w:tcBorders>
              <w:top w:val="single" w:color="CCCCCC" w:sz="1"/>
              <w:left w:val="single" w:color="CCCCCC" w:sz="1"/>
              <w:bottom w:val="single" w:color="CCCCCC" w:sz="1"/>
              <w:right w:val="single" w:color="CCCCCC" w:sz="1"/>
            </w:tcBorders>
            <w:shd w:fill="F0F4FF" w:val="clear"/>
            <w:tcMar>
              <w:top w:type="dxa" w:w="80"/>
              <w:left w:type="dxa" w:w="140"/>
              <w:bottom w:type="dxa" w:w="80"/>
              <w:right w:type="dxa" w:w="140"/>
            </w:tcMar>
          </w:tcPr>
          <w:p>
            <w:r>
              <w:rPr>
                <w:color w:val="333333"/>
                <w:sz w:val="20"/>
                <w:szCs w:val="20"/>
              </w:rPr>
              <w:t xml:space="preserve">胃粘膜を保護・修復</w:t>
            </w:r>
          </w:p>
        </w:tc>
        <w:tc>
          <w:tcPr>
            <w:tcW w:type="dxa" w:w="1680"/>
            <w:tcBorders>
              <w:top w:val="single" w:color="CCCCCC" w:sz="1"/>
              <w:left w:val="single" w:color="CCCCCC" w:sz="1"/>
              <w:bottom w:val="single" w:color="CCCCCC" w:sz="1"/>
              <w:right w:val="single" w:color="CCCCCC" w:sz="1"/>
            </w:tcBorders>
            <w:shd w:fill="F0F4FF" w:val="clear"/>
            <w:tcMar>
              <w:top w:type="dxa" w:w="80"/>
              <w:left w:type="dxa" w:w="140"/>
              <w:bottom w:type="dxa" w:w="80"/>
              <w:right w:type="dxa" w:w="140"/>
            </w:tcMar>
          </w:tcPr>
          <w:p>
            <w:r>
              <w:rPr>
                <w:color w:val="333333"/>
                <w:sz w:val="20"/>
                <w:szCs w:val="20"/>
              </w:rPr>
              <w:t xml:space="preserve">スクラルファート
レバミピド
ポラプレジンク</w:t>
            </w:r>
          </w:p>
        </w:tc>
        <w:tc>
          <w:tcPr>
            <w:tcW w:type="dxa" w:w="2160"/>
            <w:tcBorders>
              <w:top w:val="single" w:color="CCCCCC" w:sz="1"/>
              <w:left w:val="single" w:color="CCCCCC" w:sz="1"/>
              <w:bottom w:val="single" w:color="CCCCCC" w:sz="1"/>
              <w:right w:val="single" w:color="CCCCCC" w:sz="1"/>
            </w:tcBorders>
            <w:shd w:fill="F0F4FF" w:val="clear"/>
            <w:tcMar>
              <w:top w:type="dxa" w:w="80"/>
              <w:left w:type="dxa" w:w="140"/>
              <w:bottom w:type="dxa" w:w="80"/>
              <w:right w:type="dxa" w:w="140"/>
            </w:tcMar>
          </w:tcPr>
          <w:p>
            <w:r>
              <w:rPr>
                <w:color w:val="333333"/>
                <w:sz w:val="20"/>
                <w:szCs w:val="20"/>
              </w:rPr>
              <w:t xml:space="preserve">セルベール（一部）</w:t>
            </w:r>
          </w:p>
        </w:tc>
        <w:tc>
          <w:tcPr>
            <w:tcW w:type="dxa" w:w="2160"/>
            <w:tcBorders>
              <w:top w:val="single" w:color="CCCCCC" w:sz="1"/>
              <w:left w:val="single" w:color="CCCCCC" w:sz="1"/>
              <w:bottom w:val="single" w:color="CCCCCC" w:sz="1"/>
              <w:right w:val="single" w:color="CCCCCC" w:sz="1"/>
            </w:tcBorders>
            <w:shd w:fill="F0F4FF" w:val="clear"/>
            <w:tcMar>
              <w:top w:type="dxa" w:w="80"/>
              <w:left w:type="dxa" w:w="140"/>
              <w:bottom w:type="dxa" w:w="80"/>
              <w:right w:type="dxa" w:w="140"/>
            </w:tcMar>
          </w:tcPr>
          <w:p>
            <w:r>
              <w:rPr>
                <w:color w:val="333333"/>
                <w:sz w:val="20"/>
                <w:szCs w:val="20"/>
              </w:rPr>
              <w:t xml:space="preserve">ムコスタ
プロマック
アルサルミン</w:t>
            </w:r>
          </w:p>
        </w:tc>
      </w:tr>
      <w:tr>
        <w:tc>
          <w:tcPr>
            <w:tcW w:type="dxa" w:w="16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color w:val="333333"/>
                <w:sz w:val="20"/>
                <w:szCs w:val="20"/>
              </w:rPr>
              <w:t xml:space="preserve">消化管運動改善薬
（プロキネティクス）</w:t>
            </w:r>
          </w:p>
        </w:tc>
        <w:tc>
          <w:tcPr>
            <w:tcW w:type="dxa" w:w="16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color w:val="333333"/>
                <w:sz w:val="20"/>
                <w:szCs w:val="20"/>
              </w:rPr>
              <w:t xml:space="preserve">胃の動きを促進・逆流を防ぐ</w:t>
            </w:r>
          </w:p>
        </w:tc>
        <w:tc>
          <w:tcPr>
            <w:tcW w:type="dxa" w:w="16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color w:val="333333"/>
                <w:sz w:val="20"/>
                <w:szCs w:val="20"/>
              </w:rPr>
              <w:t xml:space="preserve">ドンペリドン
モサプリド</w:t>
            </w:r>
          </w:p>
        </w:tc>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color w:val="333333"/>
                <w:sz w:val="20"/>
                <w:szCs w:val="20"/>
              </w:rPr>
              <w:t xml:space="preserve">ナウゼリン（一部）</w:t>
            </w:r>
          </w:p>
        </w:tc>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color w:val="333333"/>
                <w:sz w:val="20"/>
                <w:szCs w:val="20"/>
              </w:rPr>
              <w:t xml:space="preserve">ガナトン
ガスモチン</w:t>
            </w:r>
          </w:p>
        </w:tc>
      </w:tr>
    </w:tbl>
    <w:p>
      <w:pPr>
        <w:spacing w:after="160"/>
      </w:pPr>
      <w:r>
        <w:t xml:space="preserve"/>
      </w:r>
    </w:p>
    <w:p>
      <w:pPr>
        <w:spacing w:after="100" w:before="80"/>
      </w:pPr>
      <w:r>
        <w:rPr>
          <w:i/>
          <w:iCs/>
          <w:color w:val="166534"/>
          <w:sz w:val="20"/>
          <w:szCs w:val="20"/>
        </w:rPr>
        <w:t xml:space="preserve">💡 PPI（プロトンポンプ阻害薬）：胃壁細胞にあるポンプを直接ブロックすることで、胃酸の分泌を根本から強力に抑える薬です。H2ブロッカーより効果が強く持続的です。</w:t>
      </w:r>
    </w:p>
    <w:p>
      <w:pPr>
        <w:spacing w:after="100" w:before="80"/>
      </w:pPr>
      <w:r>
        <w:rPr>
          <w:i/>
          <w:iCs/>
          <w:color w:val="166534"/>
          <w:sz w:val="20"/>
          <w:szCs w:val="20"/>
        </w:rPr>
        <w:t xml:space="preserve">💡 P-CAB（カリウムイオン競合型アシッドブロッカー）：PPIより速く効果が現れる新世代の胃酸抑制薬で、日本発の革新的な薬剤として注目されています。</w:t>
      </w:r>
    </w:p>
    <w:p>
      <w:pPr>
        <w:pBdr>
          <w:bottom w:val="single" w:color="CCDDFF" w:sz="4" w:space="1"/>
        </w:pBdr>
        <w:spacing w:after="240" w:before="240"/>
      </w:pPr>
      <w:r>
        <w:t xml:space="preserve"/>
      </w:r>
    </w:p>
    <w:p>
      <w:pPr>
        <w:pStyle w:val="Heading1"/>
        <w:spacing w:after="200" w:before="300"/>
      </w:pPr>
      <w:r>
        <w:rPr>
          <w:b/>
          <w:bCs/>
          <w:color w:val="1E3A5F"/>
          <w:sz w:val="32"/>
          <w:szCs w:val="32"/>
        </w:rPr>
        <w:t xml:space="preserve">2. 詳細：ガスター10を例にした市販薬 vs 処方薬の徹底比較</w:t>
      </w:r>
    </w:p>
    <w:p>
      <w:pPr>
        <w:pStyle w:val="Heading3"/>
      </w:pPr>
      <w:r>
        <w:rPr>
          <w:b/>
          <w:bCs/>
          <w:color w:val="1D4ED8"/>
          <w:sz w:val="24"/>
          <w:szCs w:val="24"/>
        </w:rPr>
        <w:t xml:space="preserve">2-1. ガスター10とは</w:t>
      </w:r>
    </w:p>
    <w:p>
      <w:pPr>
        <w:spacing w:after="120"/>
      </w:pPr>
      <w:r>
        <w:rPr>
          <w:b w:val="false"/>
          <w:bCs w:val="false"/>
          <w:color w:val="333333"/>
          <w:sz w:val="22"/>
          <w:szCs w:val="22"/>
        </w:rPr>
        <w:t xml:space="preserve">ガスター10（第一三共ヘルスケア）は、「ファモチジン」を有効成分とするH₂受容体拮抗薬（H2ブロッカー）です。胃酸分泌を司るヒスタミンH₂受容体を遮断することで、過剰な胃酸分泌を抑えます。</w:t>
      </w:r>
    </w:p>
    <w:p>
      <w:pPr>
        <w:spacing w:after="120"/>
      </w:pPr>
      <w:r>
        <w:rPr>
          <w:b w:val="false"/>
          <w:bCs w:val="false"/>
          <w:color w:val="333333"/>
          <w:sz w:val="22"/>
          <w:szCs w:val="22"/>
        </w:rPr>
        <w:t xml:space="preserve">「10」は1錠あたりの成分量（10mg）を意味しています。市販薬として薬局で広く購入できますが、処方薬（医療用ガスター）と比較すると、成分量・適応・使用制限に大きな差があります。</w:t>
      </w:r>
    </w:p>
    <w:p>
      <w:pPr>
        <w:spacing w:after="160"/>
      </w:pPr>
      <w:r>
        <w:t xml:space="preserve"/>
      </w:r>
    </w:p>
    <w:p>
      <w:pPr>
        <w:pStyle w:val="Heading3"/>
      </w:pPr>
      <w:r>
        <w:rPr>
          <w:b/>
          <w:bCs/>
          <w:color w:val="1D4ED8"/>
          <w:sz w:val="24"/>
          <w:szCs w:val="24"/>
        </w:rPr>
        <w:t xml:space="preserve">2-2. 市販ガスター10 vs 処方薬ガスター：用量・適応の詳細比較</w:t>
      </w:r>
    </w:p>
    <w:p>
      <w:pPr>
        <w:spacing w:after="1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3480"/>
        <w:gridCol w:w="3480"/>
      </w:tblGrid>
      <w:tr>
        <w:trPr>
          <w:tblHeader/>
        </w:trPr>
        <w:tc>
          <w:tcPr>
            <w:tcW w:type="dxa" w:w="2400"/>
            <w:tcBorders>
              <w:top w:val="single" w:color="2563EB" w:sz="4"/>
              <w:left w:val="single" w:color="2563EB" w:sz="4"/>
              <w:bottom w:val="single" w:color="2563EB" w:sz="4"/>
              <w:right w:val="single" w:color="2563EB" w:sz="4"/>
            </w:tcBorders>
            <w:shd w:fill="1E3A5F" w:val="clear"/>
            <w:tcMar>
              <w:top w:type="dxa" w:w="100"/>
              <w:left w:type="dxa" w:w="140"/>
              <w:bottom w:type="dxa" w:w="100"/>
              <w:right w:type="dxa" w:w="140"/>
            </w:tcMar>
          </w:tcPr>
          <w:p>
            <w:r>
              <w:rPr>
                <w:b/>
                <w:bCs/>
                <w:color w:val="FFFFFF"/>
                <w:sz w:val="20"/>
                <w:szCs w:val="20"/>
              </w:rPr>
              <w:t xml:space="preserve">比較項目</w:t>
            </w:r>
          </w:p>
        </w:tc>
        <w:tc>
          <w:tcPr>
            <w:tcW w:type="dxa" w:w="3480"/>
            <w:tcBorders>
              <w:top w:val="single" w:color="2563EB" w:sz="4"/>
              <w:left w:val="single" w:color="2563EB" w:sz="4"/>
              <w:bottom w:val="single" w:color="2563EB" w:sz="4"/>
              <w:right w:val="single" w:color="2563EB" w:sz="4"/>
            </w:tcBorders>
            <w:shd w:fill="1E3A5F" w:val="clear"/>
            <w:tcMar>
              <w:top w:type="dxa" w:w="100"/>
              <w:left w:type="dxa" w:w="140"/>
              <w:bottom w:type="dxa" w:w="100"/>
              <w:right w:type="dxa" w:w="140"/>
            </w:tcMar>
          </w:tcPr>
          <w:p>
            <w:r>
              <w:rPr>
                <w:b/>
                <w:bCs/>
                <w:color w:val="FFFFFF"/>
                <w:sz w:val="20"/>
                <w:szCs w:val="20"/>
              </w:rPr>
              <w:t xml:space="preserve">市販薬 ガスター10（OTC）</w:t>
            </w:r>
          </w:p>
        </w:tc>
        <w:tc>
          <w:tcPr>
            <w:tcW w:type="dxa" w:w="3480"/>
            <w:tcBorders>
              <w:top w:val="single" w:color="2563EB" w:sz="4"/>
              <w:left w:val="single" w:color="2563EB" w:sz="4"/>
              <w:bottom w:val="single" w:color="2563EB" w:sz="4"/>
              <w:right w:val="single" w:color="2563EB" w:sz="4"/>
            </w:tcBorders>
            <w:shd w:fill="1E3A5F" w:val="clear"/>
            <w:tcMar>
              <w:top w:type="dxa" w:w="100"/>
              <w:left w:type="dxa" w:w="140"/>
              <w:bottom w:type="dxa" w:w="100"/>
              <w:right w:type="dxa" w:w="140"/>
            </w:tcMar>
          </w:tcPr>
          <w:p>
            <w:r>
              <w:rPr>
                <w:b/>
                <w:bCs/>
                <w:color w:val="FFFFFF"/>
                <w:sz w:val="20"/>
                <w:szCs w:val="20"/>
              </w:rPr>
              <w:t xml:space="preserve">処方薬 ガスター（医療用）</w:t>
            </w:r>
          </w:p>
        </w:tc>
      </w:tr>
      <w:tr>
        <w:tc>
          <w:tcPr>
            <w:tcW w:type="dxa" w:w="2400"/>
            <w:tcBorders>
              <w:top w:val="single" w:color="CCCCCC" w:sz="1"/>
              <w:left w:val="single" w:color="CCCCCC" w:sz="1"/>
              <w:bottom w:val="single" w:color="CCCCCC" w:sz="1"/>
              <w:right w:val="single" w:color="CCCCCC" w:sz="1"/>
            </w:tcBorders>
            <w:shd w:fill="F0F4FF" w:val="clear"/>
            <w:tcMar>
              <w:top w:type="dxa" w:w="80"/>
              <w:left w:type="dxa" w:w="140"/>
              <w:bottom w:type="dxa" w:w="80"/>
              <w:right w:type="dxa" w:w="140"/>
            </w:tcMar>
          </w:tcPr>
          <w:p>
            <w:r>
              <w:rPr>
                <w:color w:val="333333"/>
                <w:sz w:val="20"/>
                <w:szCs w:val="20"/>
              </w:rPr>
              <w:t xml:space="preserve">有効成分</w:t>
            </w:r>
          </w:p>
        </w:tc>
        <w:tc>
          <w:tcPr>
            <w:tcW w:type="dxa" w:w="3480"/>
            <w:tcBorders>
              <w:top w:val="single" w:color="CCCCCC" w:sz="1"/>
              <w:left w:val="single" w:color="CCCCCC" w:sz="1"/>
              <w:bottom w:val="single" w:color="CCCCCC" w:sz="1"/>
              <w:right w:val="single" w:color="CCCCCC" w:sz="1"/>
            </w:tcBorders>
            <w:shd w:fill="F0F4FF" w:val="clear"/>
            <w:tcMar>
              <w:top w:type="dxa" w:w="80"/>
              <w:left w:type="dxa" w:w="140"/>
              <w:bottom w:type="dxa" w:w="80"/>
              <w:right w:type="dxa" w:w="140"/>
            </w:tcMar>
          </w:tcPr>
          <w:p>
            <w:r>
              <w:rPr>
                <w:color w:val="333333"/>
                <w:sz w:val="20"/>
                <w:szCs w:val="20"/>
              </w:rPr>
              <w:t xml:space="preserve">ファモチジン</w:t>
            </w:r>
          </w:p>
        </w:tc>
        <w:tc>
          <w:tcPr>
            <w:tcW w:type="dxa" w:w="3480"/>
            <w:tcBorders>
              <w:top w:val="single" w:color="CCCCCC" w:sz="1"/>
              <w:left w:val="single" w:color="CCCCCC" w:sz="1"/>
              <w:bottom w:val="single" w:color="CCCCCC" w:sz="1"/>
              <w:right w:val="single" w:color="CCCCCC" w:sz="1"/>
            </w:tcBorders>
            <w:shd w:fill="F0F4FF" w:val="clear"/>
            <w:tcMar>
              <w:top w:type="dxa" w:w="80"/>
              <w:left w:type="dxa" w:w="140"/>
              <w:bottom w:type="dxa" w:w="80"/>
              <w:right w:type="dxa" w:w="140"/>
            </w:tcMar>
          </w:tcPr>
          <w:p>
            <w:r>
              <w:rPr>
                <w:color w:val="333333"/>
                <w:sz w:val="20"/>
                <w:szCs w:val="20"/>
              </w:rPr>
              <w:t xml:space="preserve">ファモチジン（同一成分）</w:t>
            </w:r>
          </w:p>
        </w:tc>
      </w:tr>
      <w:tr>
        <w:tc>
          <w:tcPr>
            <w:tcW w:type="dxa" w:w="24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color w:val="333333"/>
                <w:sz w:val="20"/>
                <w:szCs w:val="20"/>
              </w:rPr>
              <w:t xml:space="preserve">1回量</w:t>
            </w:r>
          </w:p>
        </w:tc>
        <w:tc>
          <w:tcPr>
            <w:tcW w:type="dxa" w:w="34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color w:val="333333"/>
                <w:sz w:val="20"/>
                <w:szCs w:val="20"/>
              </w:rPr>
              <w:t xml:space="preserve">1錠：10mg</w:t>
            </w:r>
          </w:p>
        </w:tc>
        <w:tc>
          <w:tcPr>
            <w:tcW w:type="dxa" w:w="34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color w:val="333333"/>
                <w:sz w:val="20"/>
                <w:szCs w:val="20"/>
              </w:rPr>
              <w:t xml:space="preserve">通常1錠：20mg（OTCの2倍）</w:t>
            </w:r>
          </w:p>
        </w:tc>
      </w:tr>
      <w:tr>
        <w:tc>
          <w:tcPr>
            <w:tcW w:type="dxa" w:w="2400"/>
            <w:tcBorders>
              <w:top w:val="single" w:color="CCCCCC" w:sz="1"/>
              <w:left w:val="single" w:color="CCCCCC" w:sz="1"/>
              <w:bottom w:val="single" w:color="CCCCCC" w:sz="1"/>
              <w:right w:val="single" w:color="CCCCCC" w:sz="1"/>
            </w:tcBorders>
            <w:shd w:fill="F0F4FF" w:val="clear"/>
            <w:tcMar>
              <w:top w:type="dxa" w:w="80"/>
              <w:left w:type="dxa" w:w="140"/>
              <w:bottom w:type="dxa" w:w="80"/>
              <w:right w:type="dxa" w:w="140"/>
            </w:tcMar>
          </w:tcPr>
          <w:p>
            <w:r>
              <w:rPr>
                <w:color w:val="333333"/>
                <w:sz w:val="20"/>
                <w:szCs w:val="20"/>
              </w:rPr>
              <w:t xml:space="preserve">1日の服用量</w:t>
            </w:r>
          </w:p>
        </w:tc>
        <w:tc>
          <w:tcPr>
            <w:tcW w:type="dxa" w:w="3480"/>
            <w:tcBorders>
              <w:top w:val="single" w:color="CCCCCC" w:sz="1"/>
              <w:left w:val="single" w:color="CCCCCC" w:sz="1"/>
              <w:bottom w:val="single" w:color="CCCCCC" w:sz="1"/>
              <w:right w:val="single" w:color="CCCCCC" w:sz="1"/>
            </w:tcBorders>
            <w:shd w:fill="F0F4FF" w:val="clear"/>
            <w:tcMar>
              <w:top w:type="dxa" w:w="80"/>
              <w:left w:type="dxa" w:w="140"/>
              <w:bottom w:type="dxa" w:w="80"/>
              <w:right w:type="dxa" w:w="140"/>
            </w:tcMar>
          </w:tcPr>
          <w:p>
            <w:r>
              <w:rPr>
                <w:color w:val="333333"/>
                <w:sz w:val="20"/>
                <w:szCs w:val="20"/>
              </w:rPr>
              <w:t xml:space="preserve">最大20mg（2錠）</w:t>
            </w:r>
          </w:p>
        </w:tc>
        <w:tc>
          <w:tcPr>
            <w:tcW w:type="dxa" w:w="3480"/>
            <w:tcBorders>
              <w:top w:val="single" w:color="CCCCCC" w:sz="1"/>
              <w:left w:val="single" w:color="CCCCCC" w:sz="1"/>
              <w:bottom w:val="single" w:color="CCCCCC" w:sz="1"/>
              <w:right w:val="single" w:color="CCCCCC" w:sz="1"/>
            </w:tcBorders>
            <w:shd w:fill="F0F4FF" w:val="clear"/>
            <w:tcMar>
              <w:top w:type="dxa" w:w="80"/>
              <w:left w:type="dxa" w:w="140"/>
              <w:bottom w:type="dxa" w:w="80"/>
              <w:right w:type="dxa" w:w="140"/>
            </w:tcMar>
          </w:tcPr>
          <w:p>
            <w:r>
              <w:rPr>
                <w:color w:val="333333"/>
                <w:sz w:val="20"/>
                <w:szCs w:val="20"/>
              </w:rPr>
              <w:t xml:space="preserve">最大40〜80mg（疾患による）</w:t>
            </w:r>
          </w:p>
        </w:tc>
      </w:tr>
      <w:tr>
        <w:tc>
          <w:tcPr>
            <w:tcW w:type="dxa" w:w="24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color w:val="333333"/>
                <w:sz w:val="20"/>
                <w:szCs w:val="20"/>
              </w:rPr>
              <w:t xml:space="preserve">適応症（対象）</w:t>
            </w:r>
          </w:p>
        </w:tc>
        <w:tc>
          <w:tcPr>
            <w:tcW w:type="dxa" w:w="34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color w:val="333333"/>
                <w:sz w:val="20"/>
                <w:szCs w:val="20"/>
              </w:rPr>
              <w:t xml:space="preserve">胃痛・もたれ・胸やけ・むかつき（症状緩和）</w:t>
            </w:r>
          </w:p>
        </w:tc>
        <w:tc>
          <w:tcPr>
            <w:tcW w:type="dxa" w:w="34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color w:val="333333"/>
                <w:sz w:val="20"/>
                <w:szCs w:val="20"/>
              </w:rPr>
              <w:t xml:space="preserve">胃潰瘍・十二指腸潰瘍・逆流性食道炎・Zollinger-Ellison症候群など（疾患治療）</w:t>
            </w:r>
          </w:p>
        </w:tc>
      </w:tr>
      <w:tr>
        <w:tc>
          <w:tcPr>
            <w:tcW w:type="dxa" w:w="2400"/>
            <w:tcBorders>
              <w:top w:val="single" w:color="CCCCCC" w:sz="1"/>
              <w:left w:val="single" w:color="CCCCCC" w:sz="1"/>
              <w:bottom w:val="single" w:color="CCCCCC" w:sz="1"/>
              <w:right w:val="single" w:color="CCCCCC" w:sz="1"/>
            </w:tcBorders>
            <w:shd w:fill="F0F4FF" w:val="clear"/>
            <w:tcMar>
              <w:top w:type="dxa" w:w="80"/>
              <w:left w:type="dxa" w:w="140"/>
              <w:bottom w:type="dxa" w:w="80"/>
              <w:right w:type="dxa" w:w="140"/>
            </w:tcMar>
          </w:tcPr>
          <w:p>
            <w:r>
              <w:rPr>
                <w:color w:val="333333"/>
                <w:sz w:val="20"/>
                <w:szCs w:val="20"/>
              </w:rPr>
              <w:t xml:space="preserve">服用期間</w:t>
            </w:r>
          </w:p>
        </w:tc>
        <w:tc>
          <w:tcPr>
            <w:tcW w:type="dxa" w:w="3480"/>
            <w:tcBorders>
              <w:top w:val="single" w:color="CCCCCC" w:sz="1"/>
              <w:left w:val="single" w:color="CCCCCC" w:sz="1"/>
              <w:bottom w:val="single" w:color="CCCCCC" w:sz="1"/>
              <w:right w:val="single" w:color="CCCCCC" w:sz="1"/>
            </w:tcBorders>
            <w:shd w:fill="F0F4FF" w:val="clear"/>
            <w:tcMar>
              <w:top w:type="dxa" w:w="80"/>
              <w:left w:type="dxa" w:w="140"/>
              <w:bottom w:type="dxa" w:w="80"/>
              <w:right w:type="dxa" w:w="140"/>
            </w:tcMar>
          </w:tcPr>
          <w:p>
            <w:r>
              <w:rPr>
                <w:color w:val="333333"/>
                <w:sz w:val="20"/>
                <w:szCs w:val="20"/>
              </w:rPr>
              <w:t xml:space="preserve">原則2週間以内</w:t>
            </w:r>
          </w:p>
        </w:tc>
        <w:tc>
          <w:tcPr>
            <w:tcW w:type="dxa" w:w="3480"/>
            <w:tcBorders>
              <w:top w:val="single" w:color="CCCCCC" w:sz="1"/>
              <w:left w:val="single" w:color="CCCCCC" w:sz="1"/>
              <w:bottom w:val="single" w:color="CCCCCC" w:sz="1"/>
              <w:right w:val="single" w:color="CCCCCC" w:sz="1"/>
            </w:tcBorders>
            <w:shd w:fill="F0F4FF" w:val="clear"/>
            <w:tcMar>
              <w:top w:type="dxa" w:w="80"/>
              <w:left w:type="dxa" w:w="140"/>
              <w:bottom w:type="dxa" w:w="80"/>
              <w:right w:type="dxa" w:w="140"/>
            </w:tcMar>
          </w:tcPr>
          <w:p>
            <w:r>
              <w:rPr>
                <w:color w:val="333333"/>
                <w:sz w:val="20"/>
                <w:szCs w:val="20"/>
              </w:rPr>
              <w:t xml:space="preserve">疾患により4〜8週間以上も可</w:t>
            </w:r>
          </w:p>
        </w:tc>
      </w:tr>
      <w:tr>
        <w:tc>
          <w:tcPr>
            <w:tcW w:type="dxa" w:w="24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color w:val="333333"/>
                <w:sz w:val="20"/>
                <w:szCs w:val="20"/>
              </w:rPr>
              <w:t xml:space="preserve">用量調整</w:t>
            </w:r>
          </w:p>
        </w:tc>
        <w:tc>
          <w:tcPr>
            <w:tcW w:type="dxa" w:w="34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color w:val="333333"/>
                <w:sz w:val="20"/>
                <w:szCs w:val="20"/>
              </w:rPr>
              <w:t xml:space="preserve">不可（固定用量）</w:t>
            </w:r>
          </w:p>
        </w:tc>
        <w:tc>
          <w:tcPr>
            <w:tcW w:type="dxa" w:w="34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color w:val="333333"/>
                <w:sz w:val="20"/>
                <w:szCs w:val="20"/>
              </w:rPr>
              <w:t xml:space="preserve">腎機能・年齢・疾患に応じて調整可</w:t>
            </w:r>
          </w:p>
        </w:tc>
      </w:tr>
      <w:tr>
        <w:tc>
          <w:tcPr>
            <w:tcW w:type="dxa" w:w="2400"/>
            <w:tcBorders>
              <w:top w:val="single" w:color="CCCCCC" w:sz="1"/>
              <w:left w:val="single" w:color="CCCCCC" w:sz="1"/>
              <w:bottom w:val="single" w:color="CCCCCC" w:sz="1"/>
              <w:right w:val="single" w:color="CCCCCC" w:sz="1"/>
            </w:tcBorders>
            <w:shd w:fill="F0F4FF" w:val="clear"/>
            <w:tcMar>
              <w:top w:type="dxa" w:w="80"/>
              <w:left w:type="dxa" w:w="140"/>
              <w:bottom w:type="dxa" w:w="80"/>
              <w:right w:type="dxa" w:w="140"/>
            </w:tcMar>
          </w:tcPr>
          <w:p>
            <w:r>
              <w:rPr>
                <w:color w:val="333333"/>
                <w:sz w:val="20"/>
                <w:szCs w:val="20"/>
              </w:rPr>
              <w:t xml:space="preserve">購入・入手</w:t>
            </w:r>
          </w:p>
        </w:tc>
        <w:tc>
          <w:tcPr>
            <w:tcW w:type="dxa" w:w="3480"/>
            <w:tcBorders>
              <w:top w:val="single" w:color="CCCCCC" w:sz="1"/>
              <w:left w:val="single" w:color="CCCCCC" w:sz="1"/>
              <w:bottom w:val="single" w:color="CCCCCC" w:sz="1"/>
              <w:right w:val="single" w:color="CCCCCC" w:sz="1"/>
            </w:tcBorders>
            <w:shd w:fill="F0F4FF" w:val="clear"/>
            <w:tcMar>
              <w:top w:type="dxa" w:w="80"/>
              <w:left w:type="dxa" w:w="140"/>
              <w:bottom w:type="dxa" w:w="80"/>
              <w:right w:type="dxa" w:w="140"/>
            </w:tcMar>
          </w:tcPr>
          <w:p>
            <w:r>
              <w:rPr>
                <w:color w:val="333333"/>
                <w:sz w:val="20"/>
                <w:szCs w:val="20"/>
              </w:rPr>
              <w:t xml:space="preserve">薬局・ドラッグストアで購入可</w:t>
            </w:r>
          </w:p>
        </w:tc>
        <w:tc>
          <w:tcPr>
            <w:tcW w:type="dxa" w:w="3480"/>
            <w:tcBorders>
              <w:top w:val="single" w:color="CCCCCC" w:sz="1"/>
              <w:left w:val="single" w:color="CCCCCC" w:sz="1"/>
              <w:bottom w:val="single" w:color="CCCCCC" w:sz="1"/>
              <w:right w:val="single" w:color="CCCCCC" w:sz="1"/>
            </w:tcBorders>
            <w:shd w:fill="F0F4FF" w:val="clear"/>
            <w:tcMar>
              <w:top w:type="dxa" w:w="80"/>
              <w:left w:type="dxa" w:w="140"/>
              <w:bottom w:type="dxa" w:w="80"/>
              <w:right w:type="dxa" w:w="140"/>
            </w:tcMar>
          </w:tcPr>
          <w:p>
            <w:r>
              <w:rPr>
                <w:color w:val="333333"/>
                <w:sz w:val="20"/>
                <w:szCs w:val="20"/>
              </w:rPr>
              <w:t xml:space="preserve">医師処方箋が必要</w:t>
            </w:r>
          </w:p>
        </w:tc>
      </w:tr>
      <w:tr>
        <w:tc>
          <w:tcPr>
            <w:tcW w:type="dxa" w:w="24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color w:val="333333"/>
                <w:sz w:val="20"/>
                <w:szCs w:val="20"/>
              </w:rPr>
              <w:t xml:space="preserve">費用（目安）</w:t>
            </w:r>
          </w:p>
        </w:tc>
        <w:tc>
          <w:tcPr>
            <w:tcW w:type="dxa" w:w="34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color w:val="333333"/>
                <w:sz w:val="20"/>
                <w:szCs w:val="20"/>
              </w:rPr>
              <w:t xml:space="preserve">12錠 約800〜1,200円（全額自己負担）</w:t>
            </w:r>
          </w:p>
        </w:tc>
        <w:tc>
          <w:tcPr>
            <w:tcW w:type="dxa" w:w="34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color w:val="333333"/>
                <w:sz w:val="20"/>
                <w:szCs w:val="20"/>
              </w:rPr>
              <w:t xml:space="preserve">20mg×30錠 約300〜500円（3割負担）</w:t>
            </w:r>
          </w:p>
        </w:tc>
      </w:tr>
      <w:tr>
        <w:tc>
          <w:tcPr>
            <w:tcW w:type="dxa" w:w="2400"/>
            <w:tcBorders>
              <w:top w:val="single" w:color="CCCCCC" w:sz="1"/>
              <w:left w:val="single" w:color="CCCCCC" w:sz="1"/>
              <w:bottom w:val="single" w:color="CCCCCC" w:sz="1"/>
              <w:right w:val="single" w:color="CCCCCC" w:sz="1"/>
            </w:tcBorders>
            <w:shd w:fill="F0F4FF" w:val="clear"/>
            <w:tcMar>
              <w:top w:type="dxa" w:w="80"/>
              <w:left w:type="dxa" w:w="140"/>
              <w:bottom w:type="dxa" w:w="80"/>
              <w:right w:type="dxa" w:w="140"/>
            </w:tcMar>
          </w:tcPr>
          <w:p>
            <w:r>
              <w:rPr>
                <w:color w:val="333333"/>
                <w:sz w:val="20"/>
                <w:szCs w:val="20"/>
              </w:rPr>
              <w:t xml:space="preserve">胃カメラ（内視鏡検査）との連動</w:t>
            </w:r>
          </w:p>
        </w:tc>
        <w:tc>
          <w:tcPr>
            <w:tcW w:type="dxa" w:w="3480"/>
            <w:tcBorders>
              <w:top w:val="single" w:color="CCCCCC" w:sz="1"/>
              <w:left w:val="single" w:color="CCCCCC" w:sz="1"/>
              <w:bottom w:val="single" w:color="CCCCCC" w:sz="1"/>
              <w:right w:val="single" w:color="CCCCCC" w:sz="1"/>
            </w:tcBorders>
            <w:shd w:fill="F0F4FF" w:val="clear"/>
            <w:tcMar>
              <w:top w:type="dxa" w:w="80"/>
              <w:left w:type="dxa" w:w="140"/>
              <w:bottom w:type="dxa" w:w="80"/>
              <w:right w:type="dxa" w:w="140"/>
            </w:tcMar>
          </w:tcPr>
          <w:p>
            <w:r>
              <w:rPr>
                <w:color w:val="333333"/>
                <w:sz w:val="20"/>
                <w:szCs w:val="20"/>
              </w:rPr>
              <w:t xml:space="preserve">なし</w:t>
            </w:r>
          </w:p>
        </w:tc>
        <w:tc>
          <w:tcPr>
            <w:tcW w:type="dxa" w:w="3480"/>
            <w:tcBorders>
              <w:top w:val="single" w:color="CCCCCC" w:sz="1"/>
              <w:left w:val="single" w:color="CCCCCC" w:sz="1"/>
              <w:bottom w:val="single" w:color="CCCCCC" w:sz="1"/>
              <w:right w:val="single" w:color="CCCCCC" w:sz="1"/>
            </w:tcBorders>
            <w:shd w:fill="F0F4FF" w:val="clear"/>
            <w:tcMar>
              <w:top w:type="dxa" w:w="80"/>
              <w:left w:type="dxa" w:w="140"/>
              <w:bottom w:type="dxa" w:w="80"/>
              <w:right w:type="dxa" w:w="140"/>
            </w:tcMar>
          </w:tcPr>
          <w:p>
            <w:r>
              <w:rPr>
                <w:color w:val="333333"/>
                <w:sz w:val="20"/>
                <w:szCs w:val="20"/>
              </w:rPr>
              <w:t xml:space="preserve">検査結果をもとに処方・用量決定</w:t>
            </w:r>
          </w:p>
        </w:tc>
      </w:tr>
      <w:tr>
        <w:tc>
          <w:tcPr>
            <w:tcW w:type="dxa" w:w="24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color w:val="333333"/>
                <w:sz w:val="20"/>
                <w:szCs w:val="20"/>
              </w:rPr>
              <w:t xml:space="preserve">H.pylori（ピロリ菌）除菌との併用</w:t>
            </w:r>
          </w:p>
        </w:tc>
        <w:tc>
          <w:tcPr>
            <w:tcW w:type="dxa" w:w="34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color w:val="333333"/>
                <w:sz w:val="20"/>
                <w:szCs w:val="20"/>
              </w:rPr>
              <w:t xml:space="preserve">不可（OTCでは除菌療法不可）</w:t>
            </w:r>
          </w:p>
        </w:tc>
        <w:tc>
          <w:tcPr>
            <w:tcW w:type="dxa" w:w="34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color w:val="333333"/>
                <w:sz w:val="20"/>
                <w:szCs w:val="20"/>
              </w:rPr>
              <w:t xml:space="preserve">クラリスロマイシン等の抗菌薬と3剤併用療法が可能</w:t>
            </w:r>
          </w:p>
        </w:tc>
      </w:tr>
    </w:tbl>
    <w:p>
      <w:pPr>
        <w:spacing w:after="160"/>
      </w:pPr>
      <w:r>
        <w:t xml:space="preserve"/>
      </w:r>
    </w:p>
    <w:p>
      <w:pPr>
        <w:spacing w:after="120" w:before="120"/>
      </w:pPr>
      <w:r>
        <w:rPr>
          <w:b/>
          <w:bCs/>
          <w:color w:val="1E40AF"/>
          <w:sz w:val="20"/>
          <w:szCs w:val="20"/>
        </w:rPr>
        <w:t xml:space="preserve">📌 重要なポイント：市販のガスター10の1日最大量は20mgですが、処方薬では胃潰瘍に対して1日40mg（朝20mg＋夕20mg）、重症例では80mgまで増量されることがあります。同じ成分でも、治療効果には大きな差があります。</w:t>
      </w:r>
    </w:p>
    <w:p>
      <w:pPr>
        <w:spacing w:after="160"/>
      </w:pPr>
      <w:r>
        <w:t xml:space="preserve"/>
      </w:r>
    </w:p>
    <w:p>
      <w:pPr>
        <w:pStyle w:val="Heading3"/>
      </w:pPr>
      <w:r>
        <w:rPr>
          <w:b/>
          <w:bCs/>
          <w:color w:val="1D4ED8"/>
          <w:sz w:val="24"/>
          <w:szCs w:val="24"/>
        </w:rPr>
        <w:t xml:space="preserve">2-3. 処方薬ではどのような治療が行われるか（症例例）</w:t>
      </w:r>
    </w:p>
    <w:p>
      <w:pPr>
        <w:spacing w:after="120"/>
      </w:pPr>
      <w:r>
        <w:rPr>
          <w:b w:val="false"/>
          <w:bCs w:val="false"/>
          <w:color w:val="333333"/>
          <w:sz w:val="22"/>
          <w:szCs w:val="22"/>
        </w:rPr>
        <w:t xml:space="preserve">■ ケース例：Aさん（42歳・男性）の場合</w:t>
      </w:r>
    </w:p>
    <w:p>
      <w:pPr>
        <w:pStyle w:val="ListParagraph"/>
        <w:numPr>
          <w:ilvl w:val="0"/>
          <w:numId w:val="2"/>
        </w:numPr>
        <w:spacing w:after="80"/>
      </w:pPr>
      <w:r>
        <w:rPr>
          <w:color w:val="333333"/>
          <w:sz w:val="22"/>
          <w:szCs w:val="22"/>
        </w:rPr>
        <w:t xml:space="preserve">主訴：2ヶ月以上続く胃の痛み、食後の胸やけ</w:t>
      </w:r>
    </w:p>
    <w:p>
      <w:pPr>
        <w:pStyle w:val="ListParagraph"/>
        <w:numPr>
          <w:ilvl w:val="0"/>
          <w:numId w:val="2"/>
        </w:numPr>
        <w:spacing w:after="80"/>
      </w:pPr>
      <w:r>
        <w:rPr>
          <w:color w:val="333333"/>
          <w:sz w:val="22"/>
          <w:szCs w:val="22"/>
        </w:rPr>
        <w:t xml:space="preserve">市販ガスター10を3週間使用するも改善なし</w:t>
      </w:r>
    </w:p>
    <w:p>
      <w:pPr>
        <w:pStyle w:val="ListParagraph"/>
        <w:numPr>
          <w:ilvl w:val="0"/>
          <w:numId w:val="2"/>
        </w:numPr>
        <w:spacing w:after="80"/>
      </w:pPr>
      <w:r>
        <w:rPr>
          <w:color w:val="333333"/>
          <w:sz w:val="22"/>
          <w:szCs w:val="22"/>
        </w:rPr>
        <w:t xml:space="preserve">内科受診→胃カメラ施行→胃潰瘍（直径12mm）を確認</w:t>
      </w:r>
    </w:p>
    <w:p>
      <w:pPr>
        <w:pStyle w:val="ListParagraph"/>
        <w:numPr>
          <w:ilvl w:val="0"/>
          <w:numId w:val="2"/>
        </w:numPr>
        <w:spacing w:after="80"/>
      </w:pPr>
      <w:r>
        <w:rPr>
          <w:color w:val="333333"/>
          <w:sz w:val="22"/>
          <w:szCs w:val="22"/>
        </w:rPr>
        <w:t xml:space="preserve">ピロリ菌陽性（尿素呼気試験）</w:t>
      </w:r>
    </w:p>
    <w:p>
      <w:pPr>
        <w:pStyle w:val="ListParagraph"/>
        <w:numPr>
          <w:ilvl w:val="0"/>
          <w:numId w:val="2"/>
        </w:numPr>
        <w:spacing w:after="80"/>
      </w:pPr>
      <w:r>
        <w:rPr>
          <w:color w:val="333333"/>
          <w:sz w:val="22"/>
          <w:szCs w:val="22"/>
        </w:rPr>
        <w:t xml:space="preserve">処方内容：①ファモチジン20mg×2/日（胃酸抑制）　②クラリスロマイシン400mg×2/日（除菌）　③アモキシシリン750mg×2/日（除菌）　7日間の3剤除菌療法</w:t>
      </w:r>
    </w:p>
    <w:p>
      <w:pPr>
        <w:pStyle w:val="ListParagraph"/>
        <w:numPr>
          <w:ilvl w:val="0"/>
          <w:numId w:val="2"/>
        </w:numPr>
        <w:spacing w:after="80"/>
      </w:pPr>
      <w:r>
        <w:rPr>
          <w:color w:val="333333"/>
          <w:sz w:val="22"/>
          <w:szCs w:val="22"/>
        </w:rPr>
        <w:t xml:space="preserve">除菌成功→その後8週間のファモチジン維持療法→潰瘍治癒確認</w:t>
      </w:r>
    </w:p>
    <w:p>
      <w:pPr>
        <w:spacing w:after="160"/>
      </w:pPr>
      <w:r>
        <w:t xml:space="preserve"/>
      </w:r>
    </w:p>
    <w:p>
      <w:pPr>
        <w:spacing w:after="120"/>
      </w:pPr>
      <w:r>
        <w:rPr>
          <w:b w:val="false"/>
          <w:bCs w:val="false"/>
          <w:color w:val="333333"/>
          <w:sz w:val="22"/>
          <w:szCs w:val="22"/>
        </w:rPr>
        <w:t xml:space="preserve">このケースでは、市販薬では症状の一時的な緩和しか得られず、根本的な原因（ピロリ菌・胃潰瘍）の治療は処方薬でしか行えませんでした。</w:t>
      </w:r>
    </w:p>
    <w:p>
      <w:pPr>
        <w:spacing w:after="160"/>
      </w:pPr>
      <w:r>
        <w:t xml:space="preserve"/>
      </w:r>
    </w:p>
    <w:p>
      <w:pPr>
        <w:pStyle w:val="Heading3"/>
      </w:pPr>
      <w:r>
        <w:rPr>
          <w:b/>
          <w:bCs/>
          <w:color w:val="1D4ED8"/>
          <w:sz w:val="24"/>
          <w:szCs w:val="24"/>
        </w:rPr>
        <w:t xml:space="preserve">2-4. ガスター10（ファモチジン）のエビデンスレベル</w:t>
      </w:r>
    </w:p>
    <w:p>
      <w:pPr>
        <w:spacing w:after="120"/>
      </w:pPr>
      <w:r>
        <w:rPr>
          <w:b w:val="false"/>
          <w:bCs w:val="false"/>
          <w:color w:val="333333"/>
          <w:sz w:val="22"/>
          <w:szCs w:val="22"/>
        </w:rPr>
        <w:t xml:space="preserve">ファモチジンの有効性については、複数の無作為化比較試験（RCT）およびメタアナリシスで検証されています。</w:t>
      </w:r>
    </w:p>
    <w:p>
      <w:pPr>
        <w:pStyle w:val="ListParagraph"/>
        <w:numPr>
          <w:ilvl w:val="0"/>
          <w:numId w:val="2"/>
        </w:numPr>
        <w:spacing w:after="80"/>
      </w:pPr>
      <w:r>
        <w:rPr>
          <w:color w:val="333333"/>
          <w:sz w:val="22"/>
          <w:szCs w:val="22"/>
        </w:rPr>
        <w:t xml:space="preserve">胃潰瘍治癒率：ファモチジン40mg/日の8週間投与で70〜80%の治癒率（vs プラセボ30〜40%）【エビデンスレベル：Ib（RCT）】</w:t>
      </w:r>
    </w:p>
    <w:p>
      <w:pPr>
        <w:pStyle w:val="ListParagraph"/>
        <w:numPr>
          <w:ilvl w:val="0"/>
          <w:numId w:val="2"/>
        </w:numPr>
        <w:spacing w:after="80"/>
      </w:pPr>
      <w:r>
        <w:rPr>
          <w:color w:val="333333"/>
          <w:sz w:val="22"/>
          <w:szCs w:val="22"/>
        </w:rPr>
        <w:t xml:space="preserve">逆流性食道炎（GERD）：軽症例ではH2ブロッカーが有効。ただしLosAngeles分類C・D（重症）ではPPIが推奨される。【エビデンスレベル：Ia（メタアナリシス）】</w:t>
      </w:r>
    </w:p>
    <w:p>
      <w:pPr>
        <w:pStyle w:val="ListParagraph"/>
        <w:numPr>
          <w:ilvl w:val="0"/>
          <w:numId w:val="2"/>
        </w:numPr>
        <w:spacing w:after="80"/>
      </w:pPr>
      <w:r>
        <w:rPr>
          <w:color w:val="333333"/>
          <w:sz w:val="22"/>
          <w:szCs w:val="22"/>
        </w:rPr>
        <w:t xml:space="preserve">ピロリ菌除菌後の維持療法：除菌成功後の潰瘍再発率はファモチジン維持療法で著明に低下【エビデンスレベル：Ib】</w:t>
      </w:r>
    </w:p>
    <w:p>
      <w:pPr>
        <w:spacing w:after="160"/>
      </w:pPr>
      <w:r>
        <w:t xml:space="preserve"/>
      </w:r>
    </w:p>
    <w:p>
      <w:pPr>
        <w:spacing w:after="100" w:before="80"/>
      </w:pPr>
      <w:r>
        <w:rPr>
          <w:i/>
          <w:iCs/>
          <w:color w:val="166534"/>
          <w:sz w:val="20"/>
          <w:szCs w:val="20"/>
        </w:rPr>
        <w:t xml:space="preserve">💡 エビデンスレベルIa：複数のRCTのメタアナリシス（最も信頼度が高い） ／ Ib：単一のRCT（信頼性高い）</w:t>
      </w:r>
    </w:p>
    <w:p>
      <w:pPr>
        <w:pBdr>
          <w:bottom w:val="single" w:color="CCDDFF" w:sz="4" w:space="1"/>
        </w:pBdr>
        <w:spacing w:after="240" w:before="240"/>
      </w:pPr>
      <w:r>
        <w:t xml:space="preserve"/>
      </w:r>
    </w:p>
    <w:p>
      <w:pPr>
        <w:pStyle w:val="Heading1"/>
        <w:spacing w:after="200" w:before="300"/>
      </w:pPr>
      <w:r>
        <w:rPr>
          <w:b/>
          <w:bCs/>
          <w:color w:val="1E3A5F"/>
          <w:sz w:val="32"/>
          <w:szCs w:val="32"/>
        </w:rPr>
        <w:t xml:space="preserve">3. 注意点：市販薬で対応してよい症状・受診すべき危険サイン</w:t>
      </w:r>
    </w:p>
    <w:p>
      <w:pPr>
        <w:pStyle w:val="Heading3"/>
      </w:pPr>
      <w:r>
        <w:rPr>
          <w:b/>
          <w:bCs/>
          <w:color w:val="1D4ED8"/>
          <w:sz w:val="24"/>
          <w:szCs w:val="24"/>
        </w:rPr>
        <w:t xml:space="preserve">3-1. 市販薬で対応できるケース（軽症の目安）</w:t>
      </w:r>
    </w:p>
    <w:p>
      <w:pPr>
        <w:pStyle w:val="ListParagraph"/>
        <w:numPr>
          <w:ilvl w:val="0"/>
          <w:numId w:val="2"/>
        </w:numPr>
        <w:spacing w:after="80"/>
      </w:pPr>
      <w:r>
        <w:rPr>
          <w:color w:val="333333"/>
          <w:sz w:val="22"/>
          <w:szCs w:val="22"/>
        </w:rPr>
        <w:t xml:space="preserve">食べすぎ・飲みすぎによる一時的な胃もたれ・胃痛</w:t>
      </w:r>
    </w:p>
    <w:p>
      <w:pPr>
        <w:pStyle w:val="ListParagraph"/>
        <w:numPr>
          <w:ilvl w:val="0"/>
          <w:numId w:val="2"/>
        </w:numPr>
        <w:spacing w:after="80"/>
      </w:pPr>
      <w:r>
        <w:rPr>
          <w:color w:val="333333"/>
          <w:sz w:val="22"/>
          <w:szCs w:val="22"/>
        </w:rPr>
        <w:t xml:space="preserve">ストレス性の軽度の胃の不快感</w:t>
      </w:r>
    </w:p>
    <w:p>
      <w:pPr>
        <w:pStyle w:val="ListParagraph"/>
        <w:numPr>
          <w:ilvl w:val="0"/>
          <w:numId w:val="2"/>
        </w:numPr>
        <w:spacing w:after="80"/>
      </w:pPr>
      <w:r>
        <w:rPr>
          <w:color w:val="333333"/>
          <w:sz w:val="22"/>
          <w:szCs w:val="22"/>
        </w:rPr>
        <w:t xml:space="preserve">症状が2週間以内で自然に改善傾向にある</w:t>
      </w:r>
    </w:p>
    <w:p>
      <w:pPr>
        <w:pStyle w:val="ListParagraph"/>
        <w:numPr>
          <w:ilvl w:val="0"/>
          <w:numId w:val="2"/>
        </w:numPr>
        <w:spacing w:after="80"/>
      </w:pPr>
      <w:r>
        <w:rPr>
          <w:color w:val="333333"/>
          <w:sz w:val="22"/>
          <w:szCs w:val="22"/>
        </w:rPr>
        <w:t xml:space="preserve">既往歴がなく、他に症状を伴わない単純な胃症状</w:t>
      </w:r>
    </w:p>
    <w:p>
      <w:pPr>
        <w:spacing w:after="160"/>
      </w:pPr>
      <w:r>
        <w:t xml:space="preserve"/>
      </w:r>
    </w:p>
    <w:p>
      <w:pPr>
        <w:pStyle w:val="Heading3"/>
      </w:pPr>
      <w:r>
        <w:rPr>
          <w:b/>
          <w:bCs/>
          <w:color w:val="1D4ED8"/>
          <w:sz w:val="24"/>
          <w:szCs w:val="24"/>
        </w:rPr>
        <w:t xml:space="preserve">3-2. 必ず受診すべき危険サイン（RedFlags）</w:t>
      </w:r>
    </w:p>
    <w:p>
      <w:pPr>
        <w:spacing w:after="100" w:before="80"/>
      </w:pPr>
      <w:r>
        <w:rPr>
          <w:i/>
          <w:iCs/>
          <w:color w:val="92400E"/>
          <w:sz w:val="20"/>
          <w:szCs w:val="20"/>
        </w:rPr>
        <w:t xml:space="preserve">⚠️ 以下の症状がある場合は市販薬で対応せず、速やかに医療機関を受診してください</w:t>
      </w:r>
    </w:p>
    <w:p>
      <w:pPr>
        <w:pStyle w:val="ListParagraph"/>
        <w:numPr>
          <w:ilvl w:val="0"/>
          <w:numId w:val="2"/>
        </w:numPr>
        <w:spacing w:after="80"/>
      </w:pPr>
      <w:r>
        <w:rPr>
          <w:color w:val="333333"/>
          <w:sz w:val="22"/>
          <w:szCs w:val="22"/>
        </w:rPr>
        <w:t xml:space="preserve">黒色便（タール便）・血便・吐血 → 消化管出血の可能性</w:t>
      </w:r>
    </w:p>
    <w:p>
      <w:pPr>
        <w:pStyle w:val="ListParagraph"/>
        <w:numPr>
          <w:ilvl w:val="0"/>
          <w:numId w:val="2"/>
        </w:numPr>
        <w:spacing w:after="80"/>
      </w:pPr>
      <w:r>
        <w:rPr>
          <w:color w:val="333333"/>
          <w:sz w:val="22"/>
          <w:szCs w:val="22"/>
        </w:rPr>
        <w:t xml:space="preserve">2週間以上続く症状の改善なし → 器質的疾患の除外が必要</w:t>
      </w:r>
    </w:p>
    <w:p>
      <w:pPr>
        <w:pStyle w:val="ListParagraph"/>
        <w:numPr>
          <w:ilvl w:val="0"/>
          <w:numId w:val="2"/>
        </w:numPr>
        <w:spacing w:after="80"/>
      </w:pPr>
      <w:r>
        <w:rPr>
          <w:color w:val="333333"/>
          <w:sz w:val="22"/>
          <w:szCs w:val="22"/>
        </w:rPr>
        <w:t xml:space="preserve">体重減少・食欲不振が顕著 → 悪性腫瘍の除外が必要</w:t>
      </w:r>
    </w:p>
    <w:p>
      <w:pPr>
        <w:pStyle w:val="ListParagraph"/>
        <w:numPr>
          <w:ilvl w:val="0"/>
          <w:numId w:val="2"/>
        </w:numPr>
        <w:spacing w:after="80"/>
      </w:pPr>
      <w:r>
        <w:rPr>
          <w:color w:val="333333"/>
          <w:sz w:val="22"/>
          <w:szCs w:val="22"/>
        </w:rPr>
        <w:t xml:space="preserve">嚥下困難（食べ物が飲み込みにくい） → 食道疾患・腫瘍の可能性</w:t>
      </w:r>
    </w:p>
    <w:p>
      <w:pPr>
        <w:pStyle w:val="ListParagraph"/>
        <w:numPr>
          <w:ilvl w:val="0"/>
          <w:numId w:val="2"/>
        </w:numPr>
        <w:spacing w:after="80"/>
      </w:pPr>
      <w:r>
        <w:rPr>
          <w:color w:val="333333"/>
          <w:sz w:val="22"/>
          <w:szCs w:val="22"/>
        </w:rPr>
        <w:t xml:space="preserve">夜間に目が覚めるほどの腹痛 → 潰瘍穿孔・急性疾患の可能性</w:t>
      </w:r>
    </w:p>
    <w:p>
      <w:pPr>
        <w:pStyle w:val="ListParagraph"/>
        <w:numPr>
          <w:ilvl w:val="0"/>
          <w:numId w:val="2"/>
        </w:numPr>
        <w:spacing w:after="80"/>
      </w:pPr>
      <w:r>
        <w:rPr>
          <w:color w:val="333333"/>
          <w:sz w:val="22"/>
          <w:szCs w:val="22"/>
        </w:rPr>
        <w:t xml:space="preserve">50歳以上で初めて現れた胃症状 → 胃がんのリスク上昇</w:t>
      </w:r>
    </w:p>
    <w:p>
      <w:pPr>
        <w:pStyle w:val="ListParagraph"/>
        <w:numPr>
          <w:ilvl w:val="0"/>
          <w:numId w:val="2"/>
        </w:numPr>
        <w:spacing w:after="80"/>
      </w:pPr>
      <w:r>
        <w:rPr>
          <w:color w:val="333333"/>
          <w:sz w:val="22"/>
          <w:szCs w:val="22"/>
        </w:rPr>
        <w:t xml:space="preserve">NSAIDs（ロキソニン・アスピリン等）を常用中 → 薬剤性胃潰瘍のリスク</w:t>
      </w:r>
    </w:p>
    <w:p>
      <w:pPr>
        <w:spacing w:after="160"/>
      </w:pPr>
      <w:r>
        <w:t xml:space="preserve"/>
      </w:r>
    </w:p>
    <w:p>
      <w:pPr>
        <w:spacing w:after="100" w:before="80"/>
      </w:pPr>
      <w:r>
        <w:rPr>
          <w:i/>
          <w:iCs/>
          <w:color w:val="92400E"/>
          <w:sz w:val="20"/>
          <w:szCs w:val="20"/>
        </w:rPr>
        <w:t xml:space="preserve">⚠️ 市販のH2ブロッカーは症状を一時的に和らげる効果があります。そのため、胃がん等の重大疾患があっても症状が「マスク（隠蔽）」され、発見が遅れるリスクがあります。2週間使用しても症状が続く場合は必ず受診を。</w:t>
      </w:r>
    </w:p>
    <w:p>
      <w:pPr>
        <w:pStyle w:val="Heading3"/>
      </w:pPr>
      <w:r>
        <w:rPr>
          <w:b/>
          <w:bCs/>
          <w:color w:val="1D4ED8"/>
          <w:sz w:val="24"/>
          <w:szCs w:val="24"/>
        </w:rPr>
        <w:t xml:space="preserve">3-3. 市販薬の使用上の注意（副作用・禁忌）</w:t>
      </w:r>
    </w:p>
    <w:p>
      <w:pPr>
        <w:pStyle w:val="ListParagraph"/>
        <w:numPr>
          <w:ilvl w:val="0"/>
          <w:numId w:val="2"/>
        </w:numPr>
        <w:spacing w:after="80"/>
      </w:pPr>
      <w:r>
        <w:rPr>
          <w:color w:val="333333"/>
          <w:sz w:val="22"/>
          <w:szCs w:val="22"/>
        </w:rPr>
        <w:t xml:space="preserve">腎機能低下者：ファモチジンは腎排泄型のため、腎障害のある方は用量調整が必要（処方薬では腎機能に応じて調整可能）</w:t>
      </w:r>
    </w:p>
    <w:p>
      <w:pPr>
        <w:pStyle w:val="ListParagraph"/>
        <w:numPr>
          <w:ilvl w:val="0"/>
          <w:numId w:val="2"/>
        </w:numPr>
        <w:spacing w:after="80"/>
      </w:pPr>
      <w:r>
        <w:rPr>
          <w:color w:val="333333"/>
          <w:sz w:val="22"/>
          <w:szCs w:val="22"/>
        </w:rPr>
        <w:t xml:space="preserve">高齢者：認知機能への影響（まれ）、転倒リスク増加の報告あり</w:t>
      </w:r>
    </w:p>
    <w:p>
      <w:pPr>
        <w:pStyle w:val="ListParagraph"/>
        <w:numPr>
          <w:ilvl w:val="0"/>
          <w:numId w:val="2"/>
        </w:numPr>
        <w:spacing w:after="80"/>
      </w:pPr>
      <w:r>
        <w:rPr>
          <w:color w:val="333333"/>
          <w:sz w:val="22"/>
          <w:szCs w:val="22"/>
        </w:rPr>
        <w:t xml:space="preserve">妊婦・授乳中：安全性が確立されていないものが多い。必ず医師に相談を</w:t>
      </w:r>
    </w:p>
    <w:p>
      <w:pPr>
        <w:pStyle w:val="ListParagraph"/>
        <w:numPr>
          <w:ilvl w:val="0"/>
          <w:numId w:val="2"/>
        </w:numPr>
        <w:spacing w:after="80"/>
      </w:pPr>
      <w:r>
        <w:rPr>
          <w:color w:val="333333"/>
          <w:sz w:val="22"/>
          <w:szCs w:val="22"/>
        </w:rPr>
        <w:t xml:space="preserve">他の薬との相互作用：抗真菌薬（イトラコナゾール等）は胃酸低下により吸収が悪くなる</w:t>
      </w:r>
    </w:p>
    <w:p>
      <w:pPr>
        <w:pStyle w:val="ListParagraph"/>
        <w:numPr>
          <w:ilvl w:val="0"/>
          <w:numId w:val="2"/>
        </w:numPr>
        <w:spacing w:after="80"/>
      </w:pPr>
      <w:r>
        <w:rPr>
          <w:color w:val="333333"/>
          <w:sz w:val="22"/>
          <w:szCs w:val="22"/>
        </w:rPr>
        <w:t xml:space="preserve">2週間以上の継続使用は禁忌（OTC使用上の注意）：自己判断での長期使用は禁止</w:t>
      </w:r>
    </w:p>
    <w:p>
      <w:pPr>
        <w:pBdr>
          <w:bottom w:val="single" w:color="CCDDFF" w:sz="4" w:space="1"/>
        </w:pBdr>
        <w:spacing w:after="240" w:before="240"/>
      </w:pPr>
      <w:r>
        <w:t xml:space="preserve"/>
      </w:r>
    </w:p>
    <w:p>
      <w:pPr>
        <w:pStyle w:val="Heading1"/>
        <w:spacing w:after="200" w:before="300"/>
      </w:pPr>
      <w:r>
        <w:rPr>
          <w:b/>
          <w:bCs/>
          <w:color w:val="1E3A5F"/>
          <w:sz w:val="32"/>
          <w:szCs w:val="32"/>
        </w:rPr>
        <w:t xml:space="preserve">4. あなたに今すぐできること：行動変容のすすめ</w:t>
      </w:r>
    </w:p>
    <w:p>
      <w:pPr>
        <w:pStyle w:val="Heading3"/>
      </w:pPr>
      <w:r>
        <w:rPr>
          <w:b/>
          <w:bCs/>
          <w:color w:val="1D4ED8"/>
          <w:sz w:val="24"/>
          <w:szCs w:val="24"/>
        </w:rPr>
        <w:t xml:space="preserve">4-1. 「受診しようかな」と思っているあなたへ</w:t>
      </w:r>
    </w:p>
    <w:p>
      <w:pPr>
        <w:spacing w:after="120"/>
      </w:pPr>
      <w:r>
        <w:rPr>
          <w:b w:val="false"/>
          <w:bCs w:val="false"/>
          <w:color w:val="333333"/>
          <w:sz w:val="22"/>
          <w:szCs w:val="22"/>
        </w:rPr>
        <w:t xml:space="preserve">「たかが胃薬」と思っていませんか？胃の症状の背後には、消化性潰瘍・逆流性食道炎・機能性ディスペプシア・早期胃がんなど、様々な疾患が潜んでいる可能性があります。</w:t>
      </w:r>
    </w:p>
    <w:p>
      <w:pPr>
        <w:spacing w:after="120"/>
      </w:pPr>
      <w:r>
        <w:rPr>
          <w:b w:val="false"/>
          <w:bCs w:val="false"/>
          <w:color w:val="333333"/>
          <w:sz w:val="22"/>
          <w:szCs w:val="22"/>
        </w:rPr>
        <w:t xml:space="preserve">日本は胃がん罹患率が世界トップクラスの国です（国立がん研究センター2023年推計）。早期発見・早期治療が予後を大きく左右します。</w:t>
      </w:r>
    </w:p>
    <w:p>
      <w:pPr>
        <w:spacing w:after="160"/>
      </w:pPr>
      <w:r>
        <w:t xml:space="preserve"/>
      </w:r>
    </w:p>
    <w:p>
      <w:pPr>
        <w:pStyle w:val="Heading3"/>
      </w:pPr>
      <w:r>
        <w:rPr>
          <w:b/>
          <w:bCs/>
          <w:color w:val="1D4ED8"/>
          <w:sz w:val="24"/>
          <w:szCs w:val="24"/>
        </w:rPr>
        <w:t xml:space="preserve">4-2. 受診前チェックリスト（問診票の準備）</w:t>
      </w:r>
    </w:p>
    <w:p>
      <w:pPr>
        <w:spacing w:after="120"/>
      </w:pPr>
      <w:r>
        <w:rPr>
          <w:b w:val="false"/>
          <w:bCs w:val="false"/>
          <w:color w:val="333333"/>
          <w:sz w:val="22"/>
          <w:szCs w:val="22"/>
        </w:rPr>
        <w:t xml:space="preserve">受診の際に以下を確認・記録しておくと、診察がよりスムーズになります：</w:t>
      </w:r>
    </w:p>
    <w:p>
      <w:pPr>
        <w:pStyle w:val="ListParagraph"/>
        <w:numPr>
          <w:ilvl w:val="0"/>
          <w:numId w:val="2"/>
        </w:numPr>
        <w:spacing w:after="80"/>
      </w:pPr>
      <w:r>
        <w:rPr>
          <w:color w:val="333333"/>
          <w:sz w:val="22"/>
          <w:szCs w:val="22"/>
        </w:rPr>
        <w:t xml:space="preserve">症状はいつから？何日続いている？</w:t>
      </w:r>
    </w:p>
    <w:p>
      <w:pPr>
        <w:pStyle w:val="ListParagraph"/>
        <w:numPr>
          <w:ilvl w:val="0"/>
          <w:numId w:val="2"/>
        </w:numPr>
        <w:spacing w:after="80"/>
      </w:pPr>
      <w:r>
        <w:rPr>
          <w:color w:val="333333"/>
          <w:sz w:val="22"/>
          <w:szCs w:val="22"/>
        </w:rPr>
        <w:t xml:space="preserve">痛みの場所（心窩部＝みぞおち？右上腹部？）</w:t>
      </w:r>
    </w:p>
    <w:p>
      <w:pPr>
        <w:pStyle w:val="ListParagraph"/>
        <w:numPr>
          <w:ilvl w:val="0"/>
          <w:numId w:val="2"/>
        </w:numPr>
        <w:spacing w:after="80"/>
      </w:pPr>
      <w:r>
        <w:rPr>
          <w:color w:val="333333"/>
          <w:sz w:val="22"/>
          <w:szCs w:val="22"/>
        </w:rPr>
        <w:t xml:space="preserve">食事との関係（食前・食後どちらが悪化するか）</w:t>
      </w:r>
    </w:p>
    <w:p>
      <w:pPr>
        <w:pStyle w:val="ListParagraph"/>
        <w:numPr>
          <w:ilvl w:val="0"/>
          <w:numId w:val="2"/>
        </w:numPr>
        <w:spacing w:after="80"/>
      </w:pPr>
      <w:r>
        <w:rPr>
          <w:color w:val="333333"/>
          <w:sz w:val="22"/>
          <w:szCs w:val="22"/>
        </w:rPr>
        <w:t xml:space="preserve">市販薬を使用したか（薬剤名・用量・期間）</w:t>
      </w:r>
    </w:p>
    <w:p>
      <w:pPr>
        <w:pStyle w:val="ListParagraph"/>
        <w:numPr>
          <w:ilvl w:val="0"/>
          <w:numId w:val="2"/>
        </w:numPr>
        <w:spacing w:after="80"/>
      </w:pPr>
      <w:r>
        <w:rPr>
          <w:color w:val="333333"/>
          <w:sz w:val="22"/>
          <w:szCs w:val="22"/>
        </w:rPr>
        <w:t xml:space="preserve">NSAIDs（鎮痛薬）を常用しているか</w:t>
      </w:r>
    </w:p>
    <w:p>
      <w:pPr>
        <w:pStyle w:val="ListParagraph"/>
        <w:numPr>
          <w:ilvl w:val="0"/>
          <w:numId w:val="2"/>
        </w:numPr>
        <w:spacing w:after="80"/>
      </w:pPr>
      <w:r>
        <w:rPr>
          <w:color w:val="333333"/>
          <w:sz w:val="22"/>
          <w:szCs w:val="22"/>
        </w:rPr>
        <w:t xml:space="preserve">喫煙・飲酒習慣はあるか</w:t>
      </w:r>
    </w:p>
    <w:p>
      <w:pPr>
        <w:pStyle w:val="ListParagraph"/>
        <w:numPr>
          <w:ilvl w:val="0"/>
          <w:numId w:val="2"/>
        </w:numPr>
        <w:spacing w:after="80"/>
      </w:pPr>
      <w:r>
        <w:rPr>
          <w:color w:val="333333"/>
          <w:sz w:val="22"/>
          <w:szCs w:val="22"/>
        </w:rPr>
        <w:t xml:space="preserve">家族に胃がん・ピロリ菌感染の既往はあるか</w:t>
      </w:r>
    </w:p>
    <w:p>
      <w:pPr>
        <w:spacing w:after="160"/>
      </w:pPr>
      <w:r>
        <w:t xml:space="preserve"/>
      </w:r>
    </w:p>
    <w:p>
      <w:pPr>
        <w:spacing w:after="120" w:before="120"/>
      </w:pPr>
      <w:r>
        <w:rPr>
          <w:b/>
          <w:bCs/>
          <w:color w:val="1E40AF"/>
          <w:sz w:val="20"/>
          <w:szCs w:val="20"/>
        </w:rPr>
        <w:t xml:space="preserve">📌 「市販薬でしばらく様子を見ようと思っていたが、受診して初めて早期胃がんが見つかった」という実例は少なくありません。胃症状は見逃しやすいシグナルです。</w:t>
      </w:r>
    </w:p>
    <w:p>
      <w:pPr>
        <w:pStyle w:val="Heading3"/>
      </w:pPr>
      <w:r>
        <w:rPr>
          <w:b/>
          <w:bCs/>
          <w:color w:val="1D4ED8"/>
          <w:sz w:val="24"/>
          <w:szCs w:val="24"/>
        </w:rPr>
        <w:t xml:space="preserve">4-3. 受診先の目安</w:t>
      </w:r>
    </w:p>
    <w:p>
      <w:pPr>
        <w:pStyle w:val="ListParagraph"/>
        <w:numPr>
          <w:ilvl w:val="0"/>
          <w:numId w:val="2"/>
        </w:numPr>
        <w:spacing w:after="80"/>
      </w:pPr>
      <w:r>
        <w:rPr>
          <w:color w:val="333333"/>
          <w:sz w:val="22"/>
          <w:szCs w:val="22"/>
        </w:rPr>
        <w:t xml:space="preserve">一般的な胃症状 → 内科・消化器内科</w:t>
      </w:r>
    </w:p>
    <w:p>
      <w:pPr>
        <w:pStyle w:val="ListParagraph"/>
        <w:numPr>
          <w:ilvl w:val="0"/>
          <w:numId w:val="2"/>
        </w:numPr>
        <w:spacing w:after="80"/>
      </w:pPr>
      <w:r>
        <w:rPr>
          <w:color w:val="333333"/>
          <w:sz w:val="22"/>
          <w:szCs w:val="22"/>
        </w:rPr>
        <w:t xml:space="preserve">嚥下困難・食道症状が目立つ → 消化器内科</w:t>
      </w:r>
    </w:p>
    <w:p>
      <w:pPr>
        <w:pStyle w:val="ListParagraph"/>
        <w:numPr>
          <w:ilvl w:val="0"/>
          <w:numId w:val="2"/>
        </w:numPr>
        <w:spacing w:after="80"/>
      </w:pPr>
      <w:r>
        <w:rPr>
          <w:color w:val="333333"/>
          <w:sz w:val="22"/>
          <w:szCs w:val="22"/>
        </w:rPr>
        <w:t xml:space="preserve">緊急性が疑われる（吐血・黒色便） → 救急外来または消化器内科を当日受診</w:t>
      </w:r>
    </w:p>
    <w:p>
      <w:pPr>
        <w:pBdr>
          <w:bottom w:val="single" w:color="CCDDFF" w:sz="4" w:space="1"/>
        </w:pBdr>
        <w:spacing w:after="240" w:before="240"/>
      </w:pPr>
      <w:r>
        <w:t xml:space="preserve"/>
      </w:r>
    </w:p>
    <w:p>
      <w:pPr>
        <w:pStyle w:val="Heading1"/>
        <w:spacing w:after="200" w:before="300"/>
      </w:pPr>
      <w:r>
        <w:rPr>
          <w:b/>
          <w:bCs/>
          <w:color w:val="1E3A5F"/>
          <w:sz w:val="32"/>
          <w:szCs w:val="32"/>
        </w:rPr>
        <w:t xml:space="preserve">5. この記事と関連するおすすめ商品・サービス</w:t>
      </w:r>
    </w:p>
    <w:p>
      <w:pPr>
        <w:spacing w:after="120"/>
      </w:pPr>
      <w:r>
        <w:rPr>
          <w:b w:val="false"/>
          <w:bCs w:val="false"/>
          <w:color w:val="333333"/>
          <w:sz w:val="22"/>
          <w:szCs w:val="22"/>
        </w:rPr>
        <w:t xml:space="preserve">※以下はアフィリエイト広告を含む場合があります。記事内容とは独立した選定基準で選んでいます。</w:t>
      </w:r>
    </w:p>
    <w:p>
      <w:pPr>
        <w:spacing w:after="160"/>
      </w:pPr>
      <w:r>
        <w:t xml:space="preserve"/>
      </w:r>
    </w:p>
    <w:p>
      <w:pPr>
        <w:pStyle w:val="Heading3"/>
      </w:pPr>
      <w:r>
        <w:rPr>
          <w:b/>
          <w:bCs/>
          <w:color w:val="1D4ED8"/>
          <w:sz w:val="24"/>
          <w:szCs w:val="24"/>
        </w:rPr>
        <w:t xml:space="preserve">✅ 市販薬関連（症状確認・軽症時の緊急対応用）</w:t>
      </w:r>
    </w:p>
    <w:p>
      <w:pPr>
        <w:pStyle w:val="ListParagraph"/>
        <w:numPr>
          <w:ilvl w:val="0"/>
          <w:numId w:val="2"/>
        </w:numPr>
        <w:spacing w:after="80"/>
      </w:pPr>
      <w:r>
        <w:rPr>
          <w:color w:val="333333"/>
          <w:sz w:val="22"/>
          <w:szCs w:val="22"/>
        </w:rPr>
        <w:t xml:space="preserve">ガスター10（ファモチジン10mg）｜12錠・20錠｜Amazon・楽天で購入可能</w:t>
      </w:r>
    </w:p>
    <w:p>
      <w:pPr>
        <w:pStyle w:val="ListParagraph"/>
        <w:numPr>
          <w:ilvl w:val="0"/>
          <w:numId w:val="2"/>
        </w:numPr>
        <w:spacing w:after="80"/>
      </w:pPr>
      <w:r>
        <w:rPr>
          <w:color w:val="333333"/>
          <w:sz w:val="22"/>
          <w:szCs w:val="22"/>
        </w:rPr>
        <w:t xml:space="preserve">ネキシウム24HR（エソメプラゾール20mg）｜OTC PPI。より強力な胃酸抑制を希望する方に（使用前に薬剤師へ相談推奨）</w:t>
      </w:r>
    </w:p>
    <w:p>
      <w:pPr>
        <w:pStyle w:val="ListParagraph"/>
        <w:numPr>
          <w:ilvl w:val="0"/>
          <w:numId w:val="2"/>
        </w:numPr>
        <w:spacing w:after="80"/>
      </w:pPr>
      <w:r>
        <w:rPr>
          <w:color w:val="333333"/>
          <w:sz w:val="22"/>
          <w:szCs w:val="22"/>
        </w:rPr>
        <w:t xml:space="preserve">ガストール（総合胃腸薬）｜消化不良・胃もたれ・げっぷ等に</w:t>
      </w:r>
    </w:p>
    <w:p>
      <w:pPr>
        <w:spacing w:after="160"/>
      </w:pPr>
      <w:r>
        <w:t xml:space="preserve"/>
      </w:r>
    </w:p>
    <w:p>
      <w:pPr>
        <w:pStyle w:val="Heading3"/>
      </w:pPr>
      <w:r>
        <w:rPr>
          <w:b/>
          <w:bCs/>
          <w:color w:val="1D4ED8"/>
          <w:sz w:val="24"/>
          <w:szCs w:val="24"/>
        </w:rPr>
        <w:t xml:space="preserve">✅ 受診・オンライン診療サービス</w:t>
      </w:r>
    </w:p>
    <w:p>
      <w:pPr>
        <w:pStyle w:val="ListParagraph"/>
        <w:numPr>
          <w:ilvl w:val="0"/>
          <w:numId w:val="2"/>
        </w:numPr>
        <w:spacing w:after="80"/>
      </w:pPr>
      <w:r>
        <w:rPr>
          <w:color w:val="333333"/>
          <w:sz w:val="22"/>
          <w:szCs w:val="22"/>
        </w:rPr>
        <w:t xml:space="preserve">LINEドクター ／ クリニクス（オンライン診療）｜消化器内科・内科の遠隔受診が可能。処方薬の受け取りも自宅で</w:t>
      </w:r>
    </w:p>
    <w:p>
      <w:pPr>
        <w:pStyle w:val="ListParagraph"/>
        <w:numPr>
          <w:ilvl w:val="0"/>
          <w:numId w:val="2"/>
        </w:numPr>
        <w:spacing w:after="80"/>
      </w:pPr>
      <w:r>
        <w:rPr>
          <w:color w:val="333333"/>
          <w:sz w:val="22"/>
          <w:szCs w:val="22"/>
        </w:rPr>
        <w:t xml:space="preserve">メドレー（CLINICS）｜予約〜診察〜処方薬宅配までワンストップ</w:t>
      </w:r>
    </w:p>
    <w:p>
      <w:pPr>
        <w:pStyle w:val="ListParagraph"/>
        <w:numPr>
          <w:ilvl w:val="0"/>
          <w:numId w:val="2"/>
        </w:numPr>
        <w:spacing w:after="80"/>
      </w:pPr>
      <w:r>
        <w:rPr>
          <w:color w:val="333333"/>
          <w:sz w:val="22"/>
          <w:szCs w:val="22"/>
        </w:rPr>
        <w:t xml:space="preserve">ピロリ菌感染検査キット（自宅検査）｜郵送で検査可能な尿素呼気試験キット。40歳以上の方や胃症状が続く方に</w:t>
      </w:r>
    </w:p>
    <w:p>
      <w:pPr>
        <w:spacing w:after="160"/>
      </w:pPr>
      <w:r>
        <w:t xml:space="preserve"/>
      </w:r>
    </w:p>
    <w:p>
      <w:pPr>
        <w:pStyle w:val="Heading3"/>
      </w:pPr>
      <w:r>
        <w:rPr>
          <w:b/>
          <w:bCs/>
          <w:color w:val="1D4ED8"/>
          <w:sz w:val="24"/>
          <w:szCs w:val="24"/>
        </w:rPr>
        <w:t xml:space="preserve">✅ 健康管理・医療情報</w:t>
      </w:r>
    </w:p>
    <w:p>
      <w:pPr>
        <w:pStyle w:val="ListParagraph"/>
        <w:numPr>
          <w:ilvl w:val="0"/>
          <w:numId w:val="2"/>
        </w:numPr>
        <w:spacing w:after="80"/>
      </w:pPr>
      <w:r>
        <w:rPr>
          <w:color w:val="333333"/>
          <w:sz w:val="22"/>
          <w:szCs w:val="22"/>
        </w:rPr>
        <w:t xml:space="preserve">人間ドック（胃カメラオプション付き）｜胃内視鏡検査費用は自由診療で約15,000〜30,000円が目安</w:t>
      </w:r>
    </w:p>
    <w:p>
      <w:pPr>
        <w:pStyle w:val="ListParagraph"/>
        <w:numPr>
          <w:ilvl w:val="0"/>
          <w:numId w:val="2"/>
        </w:numPr>
        <w:spacing w:after="80"/>
      </w:pPr>
      <w:r>
        <w:rPr>
          <w:color w:val="333333"/>
          <w:sz w:val="22"/>
          <w:szCs w:val="22"/>
        </w:rPr>
        <w:t xml:space="preserve">Kentai / ザバス プロテイン等（胃粘膜を傷めないよう食生活改善を）</w:t>
      </w:r>
    </w:p>
    <w:p>
      <w:pPr>
        <w:pStyle w:val="ListParagraph"/>
        <w:numPr>
          <w:ilvl w:val="0"/>
          <w:numId w:val="2"/>
        </w:numPr>
        <w:spacing w:after="80"/>
      </w:pPr>
      <w:r>
        <w:rPr>
          <w:color w:val="333333"/>
          <w:sz w:val="22"/>
          <w:szCs w:val="22"/>
        </w:rPr>
        <w:t xml:space="preserve">日本消化器病学会公認「胃病気チェックリスト」｜無料でリスク評価可能</w:t>
      </w:r>
    </w:p>
    <w:p>
      <w:pPr>
        <w:spacing w:after="160"/>
      </w:pPr>
      <w:r>
        <w:t xml:space="preserve"/>
      </w:r>
    </w:p>
    <w:p>
      <w:pPr>
        <w:spacing w:after="100" w:before="80"/>
      </w:pPr>
      <w:r>
        <w:rPr>
          <w:i/>
          <w:iCs/>
          <w:color w:val="92400E"/>
          <w:sz w:val="20"/>
          <w:szCs w:val="20"/>
        </w:rPr>
        <w:t xml:space="preserve">⚠️ アフィリエイト商品（特に市販薬）は、必ず用法・用量を守り、添付文書をよく読んでご使用ください。2週間以上継続しても改善しない場合は使用を中止し医師に相談してください。</w:t>
      </w:r>
    </w:p>
    <w:p>
      <w:pPr>
        <w:pBdr>
          <w:bottom w:val="single" w:color="CCDDFF" w:sz="4" w:space="1"/>
        </w:pBdr>
        <w:spacing w:after="240" w:before="240"/>
      </w:pPr>
      <w:r>
        <w:t xml:space="preserve"/>
      </w:r>
    </w:p>
    <w:p>
      <w:pPr>
        <w:pStyle w:val="Heading1"/>
        <w:spacing w:after="200" w:before="300"/>
      </w:pPr>
      <w:r>
        <w:rPr>
          <w:b/>
          <w:bCs/>
          <w:color w:val="1E3A5F"/>
          <w:sz w:val="32"/>
          <w:szCs w:val="32"/>
        </w:rPr>
        <w:t xml:space="preserve">まとめ：市販薬 vs 処方薬、あなたはどちらが必要か？</w:t>
      </w:r>
    </w:p>
    <w:p>
      <w:pPr>
        <w:spacing w:after="1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tblHeader/>
        </w:trPr>
        <w:tc>
          <w:tcPr>
            <w:tcW w:type="dxa" w:w="4680"/>
            <w:tcBorders>
              <w:top w:val="single" w:color="2563EB" w:sz="4"/>
              <w:left w:val="single" w:color="2563EB" w:sz="4"/>
              <w:bottom w:val="single" w:color="2563EB" w:sz="4"/>
              <w:right w:val="single" w:color="2563EB" w:sz="4"/>
            </w:tcBorders>
            <w:shd w:fill="1E3A5F" w:val="clear"/>
            <w:tcMar>
              <w:top w:type="dxa" w:w="100"/>
              <w:left w:type="dxa" w:w="140"/>
              <w:bottom w:type="dxa" w:w="100"/>
              <w:right w:type="dxa" w:w="140"/>
            </w:tcMar>
          </w:tcPr>
          <w:p>
            <w:r>
              <w:rPr>
                <w:b/>
                <w:bCs/>
                <w:color w:val="FFFFFF"/>
                <w:sz w:val="20"/>
                <w:szCs w:val="20"/>
              </w:rPr>
              <w:t xml:space="preserve">こんな場合</w:t>
            </w:r>
          </w:p>
        </w:tc>
        <w:tc>
          <w:tcPr>
            <w:tcW w:type="dxa" w:w="4680"/>
            <w:tcBorders>
              <w:top w:val="single" w:color="2563EB" w:sz="4"/>
              <w:left w:val="single" w:color="2563EB" w:sz="4"/>
              <w:bottom w:val="single" w:color="2563EB" w:sz="4"/>
              <w:right w:val="single" w:color="2563EB" w:sz="4"/>
            </w:tcBorders>
            <w:shd w:fill="1E3A5F" w:val="clear"/>
            <w:tcMar>
              <w:top w:type="dxa" w:w="100"/>
              <w:left w:type="dxa" w:w="140"/>
              <w:bottom w:type="dxa" w:w="100"/>
              <w:right w:type="dxa" w:w="140"/>
            </w:tcMar>
          </w:tcPr>
          <w:p>
            <w:r>
              <w:rPr>
                <w:b/>
                <w:bCs/>
                <w:color w:val="FFFFFF"/>
                <w:sz w:val="20"/>
                <w:szCs w:val="20"/>
              </w:rPr>
              <w:t xml:space="preserve">おすすめの対応</w:t>
            </w:r>
          </w:p>
        </w:tc>
      </w:tr>
      <w:tr>
        <w:tc>
          <w:tcPr>
            <w:tcW w:type="dxa" w:w="4680"/>
            <w:tcBorders>
              <w:top w:val="single" w:color="CCCCCC" w:sz="1"/>
              <w:left w:val="single" w:color="CCCCCC" w:sz="1"/>
              <w:bottom w:val="single" w:color="CCCCCC" w:sz="1"/>
              <w:right w:val="single" w:color="CCCCCC" w:sz="1"/>
            </w:tcBorders>
            <w:shd w:fill="F0F4FF" w:val="clear"/>
            <w:tcMar>
              <w:top w:type="dxa" w:w="80"/>
              <w:left w:type="dxa" w:w="140"/>
              <w:bottom w:type="dxa" w:w="80"/>
              <w:right w:type="dxa" w:w="140"/>
            </w:tcMar>
          </w:tcPr>
          <w:p>
            <w:r>
              <w:rPr>
                <w:color w:val="333333"/>
                <w:sz w:val="20"/>
                <w:szCs w:val="20"/>
              </w:rPr>
              <w:t xml:space="preserve">食べすぎ・飲みすぎによる一時的な胃不快感</w:t>
            </w:r>
          </w:p>
        </w:tc>
        <w:tc>
          <w:tcPr>
            <w:tcW w:type="dxa" w:w="4680"/>
            <w:tcBorders>
              <w:top w:val="single" w:color="CCCCCC" w:sz="1"/>
              <w:left w:val="single" w:color="CCCCCC" w:sz="1"/>
              <w:bottom w:val="single" w:color="CCCCCC" w:sz="1"/>
              <w:right w:val="single" w:color="CCCCCC" w:sz="1"/>
            </w:tcBorders>
            <w:shd w:fill="F0F4FF" w:val="clear"/>
            <w:tcMar>
              <w:top w:type="dxa" w:w="80"/>
              <w:left w:type="dxa" w:w="140"/>
              <w:bottom w:type="dxa" w:w="80"/>
              <w:right w:type="dxa" w:w="140"/>
            </w:tcMar>
          </w:tcPr>
          <w:p>
            <w:r>
              <w:rPr>
                <w:color w:val="333333"/>
                <w:sz w:val="20"/>
                <w:szCs w:val="20"/>
              </w:rPr>
              <w:t xml:space="preserve">市販薬（ガスター10等）で対応可</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color w:val="333333"/>
                <w:sz w:val="20"/>
                <w:szCs w:val="20"/>
              </w:rPr>
              <w:t xml:space="preserve">2週間以上症状が続く</w:t>
            </w:r>
          </w:p>
        </w:tc>
        <w:tc>
          <w:tcPr>
            <w:tcW w:type="dxa" w:w="46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color w:val="333333"/>
                <w:sz w:val="20"/>
                <w:szCs w:val="20"/>
              </w:rPr>
              <w:t xml:space="preserve">内科・消化器内科を受診</w:t>
            </w:r>
          </w:p>
        </w:tc>
      </w:tr>
      <w:tr>
        <w:tc>
          <w:tcPr>
            <w:tcW w:type="dxa" w:w="4680"/>
            <w:tcBorders>
              <w:top w:val="single" w:color="CCCCCC" w:sz="1"/>
              <w:left w:val="single" w:color="CCCCCC" w:sz="1"/>
              <w:bottom w:val="single" w:color="CCCCCC" w:sz="1"/>
              <w:right w:val="single" w:color="CCCCCC" w:sz="1"/>
            </w:tcBorders>
            <w:shd w:fill="F0F4FF" w:val="clear"/>
            <w:tcMar>
              <w:top w:type="dxa" w:w="80"/>
              <w:left w:type="dxa" w:w="140"/>
              <w:bottom w:type="dxa" w:w="80"/>
              <w:right w:type="dxa" w:w="140"/>
            </w:tcMar>
          </w:tcPr>
          <w:p>
            <w:r>
              <w:rPr>
                <w:color w:val="333333"/>
                <w:sz w:val="20"/>
                <w:szCs w:val="20"/>
              </w:rPr>
              <w:t xml:space="preserve">黒い便・血便・吐血がある</w:t>
            </w:r>
          </w:p>
        </w:tc>
        <w:tc>
          <w:tcPr>
            <w:tcW w:type="dxa" w:w="4680"/>
            <w:tcBorders>
              <w:top w:val="single" w:color="CCCCCC" w:sz="1"/>
              <w:left w:val="single" w:color="CCCCCC" w:sz="1"/>
              <w:bottom w:val="single" w:color="CCCCCC" w:sz="1"/>
              <w:right w:val="single" w:color="CCCCCC" w:sz="1"/>
            </w:tcBorders>
            <w:shd w:fill="F0F4FF" w:val="clear"/>
            <w:tcMar>
              <w:top w:type="dxa" w:w="80"/>
              <w:left w:type="dxa" w:w="140"/>
              <w:bottom w:type="dxa" w:w="80"/>
              <w:right w:type="dxa" w:w="140"/>
            </w:tcMar>
          </w:tcPr>
          <w:p>
            <w:r>
              <w:rPr>
                <w:color w:val="333333"/>
                <w:sz w:val="20"/>
                <w:szCs w:val="20"/>
              </w:rPr>
              <w:t xml:space="preserve">すぐに医療機関を受診（救急対応）</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color w:val="333333"/>
                <w:sz w:val="20"/>
                <w:szCs w:val="20"/>
              </w:rPr>
              <w:t xml:space="preserve">NSAIDs常用中に胃症状が出た</w:t>
            </w:r>
          </w:p>
        </w:tc>
        <w:tc>
          <w:tcPr>
            <w:tcW w:type="dxa" w:w="46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color w:val="333333"/>
                <w:sz w:val="20"/>
                <w:szCs w:val="20"/>
              </w:rPr>
              <w:t xml:space="preserve">服用中止し内科受診</w:t>
            </w:r>
          </w:p>
        </w:tc>
      </w:tr>
      <w:tr>
        <w:tc>
          <w:tcPr>
            <w:tcW w:type="dxa" w:w="4680"/>
            <w:tcBorders>
              <w:top w:val="single" w:color="CCCCCC" w:sz="1"/>
              <w:left w:val="single" w:color="CCCCCC" w:sz="1"/>
              <w:bottom w:val="single" w:color="CCCCCC" w:sz="1"/>
              <w:right w:val="single" w:color="CCCCCC" w:sz="1"/>
            </w:tcBorders>
            <w:shd w:fill="F0F4FF" w:val="clear"/>
            <w:tcMar>
              <w:top w:type="dxa" w:w="80"/>
              <w:left w:type="dxa" w:w="140"/>
              <w:bottom w:type="dxa" w:w="80"/>
              <w:right w:type="dxa" w:w="140"/>
            </w:tcMar>
          </w:tcPr>
          <w:p>
            <w:r>
              <w:rPr>
                <w:color w:val="333333"/>
                <w:sz w:val="20"/>
                <w:szCs w:val="20"/>
              </w:rPr>
              <w:t xml:space="preserve">50歳以上で初めての胃症状</w:t>
            </w:r>
          </w:p>
        </w:tc>
        <w:tc>
          <w:tcPr>
            <w:tcW w:type="dxa" w:w="4680"/>
            <w:tcBorders>
              <w:top w:val="single" w:color="CCCCCC" w:sz="1"/>
              <w:left w:val="single" w:color="CCCCCC" w:sz="1"/>
              <w:bottom w:val="single" w:color="CCCCCC" w:sz="1"/>
              <w:right w:val="single" w:color="CCCCCC" w:sz="1"/>
            </w:tcBorders>
            <w:shd w:fill="F0F4FF" w:val="clear"/>
            <w:tcMar>
              <w:top w:type="dxa" w:w="80"/>
              <w:left w:type="dxa" w:w="140"/>
              <w:bottom w:type="dxa" w:w="80"/>
              <w:right w:type="dxa" w:w="140"/>
            </w:tcMar>
          </w:tcPr>
          <w:p>
            <w:r>
              <w:rPr>
                <w:color w:val="333333"/>
                <w:sz w:val="20"/>
                <w:szCs w:val="20"/>
              </w:rPr>
              <w:t xml:space="preserve">消化器内科受診・胃カメラ検討</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color w:val="333333"/>
                <w:sz w:val="20"/>
                <w:szCs w:val="20"/>
              </w:rPr>
              <w:t xml:space="preserve">ピロリ菌が心配（家族に胃がんあり）</w:t>
            </w:r>
          </w:p>
        </w:tc>
        <w:tc>
          <w:tcPr>
            <w:tcW w:type="dxa" w:w="46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color w:val="333333"/>
                <w:sz w:val="20"/>
                <w:szCs w:val="20"/>
              </w:rPr>
              <w:t xml:space="preserve">検診・内科受診で検査を</w:t>
            </w:r>
          </w:p>
        </w:tc>
      </w:tr>
    </w:tbl>
    <w:p>
      <w:pPr>
        <w:spacing w:after="160"/>
      </w:pPr>
      <w:r>
        <w:t xml:space="preserve"/>
      </w:r>
    </w:p>
    <w:p>
      <w:pPr>
        <w:spacing w:after="120"/>
      </w:pPr>
      <w:r>
        <w:rPr>
          <w:b w:val="false"/>
          <w:bCs w:val="false"/>
          <w:color w:val="333333"/>
          <w:sz w:val="22"/>
          <w:szCs w:val="22"/>
        </w:rPr>
        <w:t xml:space="preserve">市販薬は「応急処置」です。根本的な治療のためには、正確な診断と適切な処方薬が必要です。「たかが胃薬」ではなく、あなたの消化器の健康を守るために、ぜひ一度消化器内科への受診を検討してください。</w:t>
      </w:r>
    </w:p>
    <w:p>
      <w:pPr>
        <w:spacing w:after="160"/>
      </w:pPr>
      <w:r>
        <w:t xml:space="preserve"/>
      </w:r>
    </w:p>
    <w:p>
      <w:pPr>
        <w:spacing w:after="120" w:before="120"/>
      </w:pPr>
      <w:r>
        <w:rPr>
          <w:b/>
          <w:bCs/>
          <w:color w:val="1E40AF"/>
          <w:sz w:val="20"/>
          <w:szCs w:val="20"/>
        </w:rPr>
        <w:t xml:space="preserve">📌 この記事を読んだあなたへ：もし今、2週間以上胃の症状が続いているなら、今日の内に医療機関に予約を入れてみてください。早期受診が、早期発見・早期治療につながります。</w:t>
      </w:r>
    </w:p>
    <w:p>
      <w:pPr>
        <w:pBdr>
          <w:bottom w:val="single" w:color="CCDDFF" w:sz="4" w:space="1"/>
        </w:pBdr>
        <w:spacing w:after="240" w:before="240"/>
      </w:pPr>
      <w:r>
        <w:t xml:space="preserve"/>
      </w:r>
    </w:p>
    <w:p>
      <w:pPr>
        <w:pStyle w:val="Heading2"/>
        <w:spacing w:after="160" w:before="300"/>
      </w:pPr>
      <w:r>
        <w:rPr>
          <w:b/>
          <w:bCs/>
          <w:color w:val="1E3A5F"/>
          <w:sz w:val="28"/>
          <w:szCs w:val="28"/>
        </w:rPr>
        <w:t xml:space="preserve">参考文献・引用元</w:t>
      </w:r>
    </w:p>
    <w:p>
      <w:pPr>
        <w:spacing w:after="120"/>
      </w:pPr>
      <w:r>
        <w:rPr>
          <w:b/>
          <w:bCs/>
          <w:color w:val="333333"/>
          <w:sz w:val="22"/>
          <w:szCs w:val="22"/>
        </w:rPr>
        <w:t xml:space="preserve">本記事は以下のガイドラインおよび論文に基づいています：</w:t>
      </w:r>
    </w:p>
    <w:p>
      <w:pPr>
        <w:spacing w:after="160"/>
      </w:pPr>
      <w:r>
        <w:t xml:space="preserve"/>
      </w:r>
    </w:p>
    <w:p>
      <w:pPr>
        <w:pStyle w:val="ListParagraph"/>
        <w:numPr>
          <w:ilvl w:val="0"/>
          <w:numId w:val="3"/>
        </w:numPr>
      </w:pPr>
      <w:r>
        <w:rPr>
          <w:color w:val="333333"/>
          <w:sz w:val="20"/>
          <w:szCs w:val="20"/>
        </w:rPr>
        <w:t xml:space="preserve">日本消化器病学会. 「消化性潰瘍診療ガイドライン2020（改訂第3版）」. 南江堂, 2020.</w:t>
      </w:r>
    </w:p>
    <w:p>
      <w:pPr>
        <w:pStyle w:val="ListParagraph"/>
        <w:numPr>
          <w:ilvl w:val="0"/>
          <w:numId w:val="3"/>
        </w:numPr>
      </w:pPr>
      <w:r>
        <w:rPr>
          <w:color w:val="333333"/>
          <w:sz w:val="20"/>
          <w:szCs w:val="20"/>
        </w:rPr>
        <w:t xml:space="preserve">日本消化器病学会. 「胃食道逆流症（GERD）診療ガイドライン2021（改訂第3版）」. 南江堂, 2021.</w:t>
      </w:r>
    </w:p>
    <w:p>
      <w:pPr>
        <w:pStyle w:val="ListParagraph"/>
        <w:numPr>
          <w:ilvl w:val="0"/>
          <w:numId w:val="3"/>
        </w:numPr>
      </w:pPr>
      <w:r>
        <w:rPr>
          <w:color w:val="333333"/>
          <w:sz w:val="20"/>
          <w:szCs w:val="20"/>
        </w:rPr>
        <w:t xml:space="preserve">Hunt RH, et al. "The Stomach in Health and Disease." Gut. 2015;64(10):1650-1668. doi:10.1136/gutjnl-2014-307595</w:t>
      </w:r>
    </w:p>
    <w:p>
      <w:pPr>
        <w:pStyle w:val="ListParagraph"/>
        <w:numPr>
          <w:ilvl w:val="0"/>
          <w:numId w:val="3"/>
        </w:numPr>
      </w:pPr>
      <w:r>
        <w:rPr>
          <w:color w:val="333333"/>
          <w:sz w:val="20"/>
          <w:szCs w:val="20"/>
        </w:rPr>
        <w:t xml:space="preserve">Malfertheiner P, et al. "Management of Helicobacter pylori infection—the Maastricht V/Florence Consensus Report." Gut. 2017;66(1):6-30.</w:t>
      </w:r>
    </w:p>
    <w:p>
      <w:pPr>
        <w:pStyle w:val="ListParagraph"/>
        <w:numPr>
          <w:ilvl w:val="0"/>
          <w:numId w:val="3"/>
        </w:numPr>
      </w:pPr>
      <w:r>
        <w:rPr>
          <w:color w:val="333333"/>
          <w:sz w:val="20"/>
          <w:szCs w:val="20"/>
        </w:rPr>
        <w:t xml:space="preserve">Scally B, et al. "Effects of gastroprotectant drugs for the prevention and treatment of peptic ulcer disease and its complications." PLOS Medicine. 2018.</w:t>
      </w:r>
    </w:p>
    <w:p>
      <w:pPr>
        <w:pStyle w:val="ListParagraph"/>
        <w:numPr>
          <w:ilvl w:val="0"/>
          <w:numId w:val="3"/>
        </w:numPr>
      </w:pPr>
      <w:r>
        <w:rPr>
          <w:color w:val="333333"/>
          <w:sz w:val="20"/>
          <w:szCs w:val="20"/>
        </w:rPr>
        <w:t xml:space="preserve">日本ヘリコバクター学会. 「H.pylori感染の診断と治療のガイドライン2019改訂版」. 2019.</w:t>
      </w:r>
    </w:p>
    <w:p>
      <w:pPr>
        <w:pStyle w:val="ListParagraph"/>
        <w:numPr>
          <w:ilvl w:val="0"/>
          <w:numId w:val="3"/>
        </w:numPr>
      </w:pPr>
      <w:r>
        <w:rPr>
          <w:color w:val="333333"/>
          <w:sz w:val="20"/>
          <w:szCs w:val="20"/>
        </w:rPr>
        <w:t xml:space="preserve">医薬品医療機器等法（薬機法）第36条の10（要指導医薬品・一般用医薬品の分類）. 厚生労働省.</w:t>
      </w:r>
    </w:p>
    <w:p>
      <w:pPr>
        <w:pStyle w:val="ListParagraph"/>
        <w:numPr>
          <w:ilvl w:val="0"/>
          <w:numId w:val="3"/>
        </w:numPr>
      </w:pPr>
      <w:r>
        <w:rPr>
          <w:color w:val="333333"/>
          <w:sz w:val="20"/>
          <w:szCs w:val="20"/>
        </w:rPr>
        <w:t xml:space="preserve">ガスター10 添付文書（第一三共ヘルスケア株式会社）. PMDA（医薬品医療機器総合機構）. 2023年版.</w:t>
      </w:r>
    </w:p>
    <w:p>
      <w:pPr>
        <w:pStyle w:val="ListParagraph"/>
        <w:numPr>
          <w:ilvl w:val="0"/>
          <w:numId w:val="3"/>
        </w:numPr>
      </w:pPr>
      <w:r>
        <w:rPr>
          <w:color w:val="333333"/>
          <w:sz w:val="20"/>
          <w:szCs w:val="20"/>
        </w:rPr>
        <w:t xml:space="preserve">ガスター錠10mg／20mg 添付文書（医療用）. アステラス製薬. PMDA収載.</w:t>
      </w:r>
    </w:p>
    <w:p>
      <w:pPr>
        <w:pStyle w:val="ListParagraph"/>
        <w:numPr>
          <w:ilvl w:val="0"/>
          <w:numId w:val="3"/>
        </w:numPr>
      </w:pPr>
      <w:r>
        <w:rPr>
          <w:color w:val="333333"/>
          <w:sz w:val="20"/>
          <w:szCs w:val="20"/>
        </w:rPr>
        <w:t xml:space="preserve">国立がん研究センターがん情報サービス. 「がん統計2023」. https://ganjoho.jp/reg_stat/ (2025年参照)</w:t>
      </w:r>
    </w:p>
    <w:p>
      <w:pPr>
        <w:pStyle w:val="ListParagraph"/>
        <w:numPr>
          <w:ilvl w:val="0"/>
          <w:numId w:val="3"/>
        </w:numPr>
      </w:pPr>
      <w:r>
        <w:rPr>
          <w:color w:val="333333"/>
          <w:sz w:val="20"/>
          <w:szCs w:val="20"/>
        </w:rPr>
        <w:t xml:space="preserve">Strand DS, et al. "A Clinical Practice Update on the Use of Proton Pump Inhibitors." Mayo Clinic Proceedings. 2017;92(10):1–13.</w:t>
      </w:r>
    </w:p>
    <w:p>
      <w:pPr>
        <w:spacing w:after="160"/>
      </w:pPr>
      <w:r>
        <w:t xml:space="preserve"/>
      </w:r>
    </w:p>
    <w:p>
      <w:pPr>
        <w:spacing w:after="120"/>
      </w:pPr>
      <w:r>
        <w:rPr>
          <w:i/>
          <w:iCs/>
          <w:color w:val="666666"/>
          <w:sz w:val="18"/>
          <w:szCs w:val="18"/>
        </w:rPr>
        <w:t xml:space="preserve">※本記事は一般的な医療情報の提供を目的としており、個別の医療アドバイスに代わるものではありません。症状の診断・治療については、必ず医師にご相談ください。</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Yu Gothic" w:cs="Yu Gothic" w:eastAsia="Yu Gothic" w:hAnsi="Yu Gothic"/>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Yu Gothic" w:cs="Yu Gothic" w:eastAsia="Yu Gothic" w:hAnsi="Yu Gothic"/>
      <w:b/>
      <w:bCs/>
      <w:sz w:val="36"/>
      <w:szCs w:val="36"/>
    </w:rPr>
  </w:style>
  <w:style w:type="paragraph" w:styleId="Heading2">
    <w:name w:val="Heading 2"/>
    <w:basedOn w:val="Normal"/>
    <w:next w:val="Normal"/>
    <w:qFormat/>
    <w:pPr>
      <w:spacing w:after="160" w:before="300"/>
      <w:outlineLvl w:val="1"/>
    </w:pPr>
    <w:rPr>
      <w:rFonts w:ascii="Yu Gothic" w:cs="Yu Gothic" w:eastAsia="Yu Gothic" w:hAnsi="Yu Gothic"/>
      <w:b/>
      <w:bCs/>
      <w:sz w:val="28"/>
      <w:szCs w:val="28"/>
    </w:rPr>
  </w:style>
  <w:style w:type="paragraph" w:styleId="Heading3">
    <w:name w:val="Heading 3"/>
    <w:basedOn w:val="Normal"/>
    <w:next w:val="Normal"/>
    <w:qFormat/>
    <w:pPr>
      <w:spacing w:after="120" w:before="200"/>
      <w:outlineLvl w:val="2"/>
    </w:pPr>
    <w:rPr>
      <w:rFonts w:ascii="Yu Gothic" w:cs="Yu Gothic" w:eastAsia="Yu Gothic" w:hAnsi="Yu Gothic"/>
      <w:b/>
      <w:bCs/>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2026-06-02T06:21:46.878Z</dcterms:created>
  <dcterms:modified xsi:type="dcterms:W3CDTF">2026-06-02T06:21:46.878Z</dcterms:modified>
</cp:coreProperties>
</file>

<file path=docProps/custom.xml><?xml version="1.0" encoding="utf-8"?>
<Properties xmlns="http://schemas.openxmlformats.org/officeDocument/2006/custom-properties" xmlns:vt="http://schemas.openxmlformats.org/officeDocument/2006/docPropsVTypes"/>
</file>